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FB895" w14:textId="77777777" w:rsidR="00A12FBC" w:rsidRPr="00301256" w:rsidRDefault="00A12FBC" w:rsidP="00A12FBC">
      <w:pPr>
        <w:pStyle w:val="Normlnweb"/>
        <w:spacing w:before="0" w:beforeAutospacing="0" w:after="120" w:afterAutospacing="0" w:line="276" w:lineRule="auto"/>
        <w:jc w:val="center"/>
        <w:rPr>
          <w:shd w:val="clear" w:color="auto" w:fill="FFFFFF"/>
          <w:lang w:val="en-GB"/>
        </w:rPr>
      </w:pPr>
      <w:r w:rsidRPr="00301256">
        <w:rPr>
          <w:b/>
          <w:bCs/>
          <w:shd w:val="clear" w:color="auto" w:fill="FFFFFF"/>
          <w:lang w:val="en-GB"/>
        </w:rPr>
        <w:t xml:space="preserve">JAKOSTNÍ PARAMETRY POLOKONZERVY S BOBŘÍM MASEM </w:t>
      </w:r>
      <w:r w:rsidRPr="00301256">
        <w:rPr>
          <w:b/>
          <w:bCs/>
          <w:i/>
          <w:iCs/>
          <w:shd w:val="clear" w:color="auto" w:fill="FFFFFF"/>
          <w:lang w:val="en-GB"/>
        </w:rPr>
        <w:t>(CASTOR FIBER</w:t>
      </w:r>
      <w:r w:rsidRPr="00301256">
        <w:rPr>
          <w:b/>
          <w:bCs/>
          <w:shd w:val="clear" w:color="auto" w:fill="FFFFFF"/>
          <w:lang w:val="en-GB"/>
        </w:rPr>
        <w:t>)</w:t>
      </w:r>
    </w:p>
    <w:p w14:paraId="76B900CB" w14:textId="77777777" w:rsidR="00A12FBC" w:rsidRPr="00301256" w:rsidRDefault="00A12FBC" w:rsidP="00A12FBC">
      <w:pPr>
        <w:pStyle w:val="Normlnweb"/>
        <w:spacing w:before="120" w:beforeAutospacing="0" w:after="120" w:afterAutospacing="0" w:line="276" w:lineRule="auto"/>
        <w:jc w:val="center"/>
        <w:rPr>
          <w:shd w:val="clear" w:color="auto" w:fill="FFFFFF"/>
          <w:lang w:val="en-GB"/>
        </w:rPr>
      </w:pPr>
      <w:r w:rsidRPr="00301256">
        <w:rPr>
          <w:b/>
          <w:bCs/>
          <w:shd w:val="clear" w:color="auto" w:fill="FFFFFF"/>
          <w:lang w:val="en-GB"/>
        </w:rPr>
        <w:t>QUALITY PARAMETERS OF CANNED MEAT WITH BEAVER (</w:t>
      </w:r>
      <w:r w:rsidRPr="00301256">
        <w:rPr>
          <w:b/>
          <w:bCs/>
          <w:i/>
          <w:iCs/>
          <w:shd w:val="clear" w:color="auto" w:fill="FFFFFF"/>
          <w:lang w:val="en-GB"/>
        </w:rPr>
        <w:t>CASTOR FIBER</w:t>
      </w:r>
      <w:r w:rsidRPr="00301256">
        <w:rPr>
          <w:b/>
          <w:bCs/>
          <w:shd w:val="clear" w:color="auto" w:fill="FFFFFF"/>
          <w:lang w:val="en-GB"/>
        </w:rPr>
        <w:t>)</w:t>
      </w:r>
    </w:p>
    <w:p w14:paraId="326075B1" w14:textId="77777777" w:rsidR="00A12FBC" w:rsidRPr="00301256" w:rsidRDefault="00A12FBC" w:rsidP="00A12FBC">
      <w:pPr>
        <w:pStyle w:val="Normlnweb"/>
        <w:spacing w:before="120" w:beforeAutospacing="0" w:after="120" w:afterAutospacing="0" w:line="276" w:lineRule="auto"/>
        <w:jc w:val="center"/>
        <w:rPr>
          <w:b/>
          <w:bCs/>
          <w:shd w:val="clear" w:color="auto" w:fill="FFFFFF"/>
          <w:vertAlign w:val="superscript"/>
          <w:lang w:val="en-GB"/>
        </w:rPr>
      </w:pPr>
      <w:r w:rsidRPr="00301256">
        <w:rPr>
          <w:b/>
          <w:bCs/>
          <w:shd w:val="clear" w:color="auto" w:fill="FFFFFF"/>
          <w:lang w:val="en-GB"/>
        </w:rPr>
        <w:t>Jan Slováček</w:t>
      </w:r>
      <w:r w:rsidRPr="00301256">
        <w:rPr>
          <w:b/>
          <w:bCs/>
          <w:shd w:val="clear" w:color="auto" w:fill="FFFFFF"/>
          <w:vertAlign w:val="superscript"/>
          <w:lang w:val="en-GB"/>
        </w:rPr>
        <w:t>1</w:t>
      </w:r>
      <w:r w:rsidRPr="00301256">
        <w:rPr>
          <w:b/>
          <w:bCs/>
          <w:shd w:val="clear" w:color="auto" w:fill="FFFFFF"/>
          <w:lang w:val="en-GB"/>
        </w:rPr>
        <w:t xml:space="preserve"> – Miroslav Jůzl</w:t>
      </w:r>
      <w:r w:rsidRPr="00301256">
        <w:rPr>
          <w:b/>
          <w:bCs/>
          <w:shd w:val="clear" w:color="auto" w:fill="FFFFFF"/>
          <w:vertAlign w:val="superscript"/>
          <w:lang w:val="en-GB"/>
        </w:rPr>
        <w:t>1</w:t>
      </w:r>
      <w:r w:rsidRPr="00301256">
        <w:rPr>
          <w:b/>
          <w:bCs/>
          <w:shd w:val="clear" w:color="auto" w:fill="FFFFFF"/>
          <w:lang w:val="en-GB"/>
        </w:rPr>
        <w:t xml:space="preserve"> – Šárka Nedomová</w:t>
      </w:r>
      <w:r w:rsidRPr="00301256">
        <w:rPr>
          <w:b/>
          <w:bCs/>
          <w:shd w:val="clear" w:color="auto" w:fill="FFFFFF"/>
          <w:vertAlign w:val="superscript"/>
          <w:lang w:val="en-GB"/>
        </w:rPr>
        <w:t>1</w:t>
      </w:r>
      <w:r w:rsidRPr="00301256">
        <w:rPr>
          <w:b/>
          <w:bCs/>
          <w:shd w:val="clear" w:color="auto" w:fill="FFFFFF"/>
          <w:lang w:val="en-GB"/>
        </w:rPr>
        <w:t xml:space="preserve"> – Andrea Roztočilová</w:t>
      </w:r>
      <w:r w:rsidRPr="00301256">
        <w:rPr>
          <w:b/>
          <w:bCs/>
          <w:shd w:val="clear" w:color="auto" w:fill="FFFFFF"/>
          <w:vertAlign w:val="superscript"/>
          <w:lang w:val="en-GB"/>
        </w:rPr>
        <w:t>1</w:t>
      </w:r>
      <w:r w:rsidRPr="00301256">
        <w:rPr>
          <w:b/>
          <w:bCs/>
          <w:shd w:val="clear" w:color="auto" w:fill="FFFFFF"/>
          <w:lang w:val="en-GB"/>
        </w:rPr>
        <w:t xml:space="preserve"> </w:t>
      </w:r>
      <w:r w:rsidRPr="00301256">
        <w:rPr>
          <w:b/>
          <w:bCs/>
          <w:shd w:val="clear" w:color="auto" w:fill="FFFFFF"/>
          <w:lang w:val="en-GB"/>
        </w:rPr>
        <w:br/>
        <w:t>Aneta Kocandová</w:t>
      </w:r>
      <w:r w:rsidRPr="00301256">
        <w:rPr>
          <w:b/>
          <w:bCs/>
          <w:shd w:val="clear" w:color="auto" w:fill="FFFFFF"/>
          <w:vertAlign w:val="superscript"/>
          <w:lang w:val="en-GB"/>
        </w:rPr>
        <w:t>1</w:t>
      </w:r>
      <w:r w:rsidRPr="00301256">
        <w:rPr>
          <w:b/>
          <w:bCs/>
          <w:shd w:val="clear" w:color="auto" w:fill="FFFFFF"/>
          <w:lang w:val="en-GB"/>
        </w:rPr>
        <w:t xml:space="preserve"> – Ondřej Mikulka</w:t>
      </w:r>
      <w:r w:rsidRPr="00301256">
        <w:rPr>
          <w:b/>
          <w:bCs/>
          <w:shd w:val="clear" w:color="auto" w:fill="FFFFFF"/>
          <w:vertAlign w:val="superscript"/>
          <w:lang w:val="en-GB"/>
        </w:rPr>
        <w:t>2</w:t>
      </w:r>
    </w:p>
    <w:p w14:paraId="398FCA36" w14:textId="77777777" w:rsidR="00A12FBC" w:rsidRDefault="00A12FBC" w:rsidP="00A12FBC">
      <w:pPr>
        <w:pStyle w:val="Normlnweb"/>
        <w:spacing w:before="120" w:beforeAutospacing="0" w:after="120" w:afterAutospacing="0" w:line="276" w:lineRule="auto"/>
        <w:jc w:val="center"/>
        <w:rPr>
          <w:b/>
          <w:bCs/>
          <w:shd w:val="clear" w:color="auto" w:fill="FFFFFF"/>
          <w:lang w:val="en-GB"/>
        </w:rPr>
      </w:pPr>
      <w:r w:rsidRPr="00301256">
        <w:rPr>
          <w:b/>
          <w:bCs/>
          <w:shd w:val="clear" w:color="auto" w:fill="FFFFFF"/>
          <w:vertAlign w:val="superscript"/>
          <w:lang w:val="en-GB"/>
        </w:rPr>
        <w:t>1</w:t>
      </w:r>
      <w:r w:rsidRPr="00301256">
        <w:rPr>
          <w:b/>
          <w:bCs/>
          <w:shd w:val="clear" w:color="auto" w:fill="FFFFFF"/>
          <w:lang w:val="en-GB"/>
        </w:rPr>
        <w:t>Ústav technologie potravin, Agronomická fakulta,</w:t>
      </w:r>
      <w:r w:rsidRPr="00301256">
        <w:rPr>
          <w:shd w:val="clear" w:color="auto" w:fill="FFFFFF"/>
          <w:lang w:val="en-GB"/>
        </w:rPr>
        <w:t xml:space="preserve"> </w:t>
      </w:r>
      <w:r w:rsidRPr="00301256">
        <w:rPr>
          <w:b/>
          <w:bCs/>
          <w:shd w:val="clear" w:color="auto" w:fill="FFFFFF"/>
          <w:lang w:val="en-GB"/>
        </w:rPr>
        <w:t>MENDELU, Zemědělská 1665/1, 613 00 Brno</w:t>
      </w:r>
    </w:p>
    <w:p w14:paraId="5C4D5B53" w14:textId="77777777" w:rsidR="00A12FBC" w:rsidRDefault="00A12FBC" w:rsidP="00A12FBC">
      <w:pPr>
        <w:pStyle w:val="Normlnweb"/>
        <w:spacing w:before="120" w:beforeAutospacing="0" w:after="0" w:afterAutospacing="0" w:line="276" w:lineRule="auto"/>
        <w:jc w:val="center"/>
        <w:rPr>
          <w:b/>
          <w:bCs/>
          <w:shd w:val="clear" w:color="auto" w:fill="FFFFFF"/>
          <w:lang w:val="en-GB"/>
        </w:rPr>
      </w:pPr>
      <w:r w:rsidRPr="00301256">
        <w:rPr>
          <w:b/>
          <w:bCs/>
          <w:shd w:val="clear" w:color="auto" w:fill="FFFFFF"/>
          <w:vertAlign w:val="superscript"/>
          <w:lang w:val="en-GB"/>
        </w:rPr>
        <w:t>2</w:t>
      </w:r>
      <w:r w:rsidRPr="00301256">
        <w:rPr>
          <w:b/>
          <w:bCs/>
          <w:shd w:val="clear" w:color="auto" w:fill="FFFFFF"/>
          <w:lang w:val="en-GB"/>
        </w:rPr>
        <w:t>Ústav ochrany lesů a myslivosti, Lesnická a dřevařská fakulta,</w:t>
      </w:r>
      <w:r w:rsidRPr="00301256">
        <w:rPr>
          <w:shd w:val="clear" w:color="auto" w:fill="FFFFFF"/>
          <w:lang w:val="en-GB"/>
        </w:rPr>
        <w:t xml:space="preserve"> </w:t>
      </w:r>
      <w:r w:rsidRPr="00301256">
        <w:rPr>
          <w:shd w:val="clear" w:color="auto" w:fill="FFFFFF"/>
          <w:lang w:val="en-GB"/>
        </w:rPr>
        <w:br/>
      </w:r>
      <w:r w:rsidRPr="00301256">
        <w:rPr>
          <w:b/>
          <w:bCs/>
          <w:shd w:val="clear" w:color="auto" w:fill="FFFFFF"/>
          <w:lang w:val="en-GB"/>
        </w:rPr>
        <w:t>MENDELU, Zemědělská 1665/1, 613 00 Brno</w:t>
      </w:r>
    </w:p>
    <w:p w14:paraId="1EB55399" w14:textId="77777777" w:rsidR="00A12FBC" w:rsidRDefault="00A12FBC" w:rsidP="00A12FBC">
      <w:pPr>
        <w:pStyle w:val="Normlnweb"/>
        <w:spacing w:before="0" w:beforeAutospacing="0" w:after="60" w:afterAutospacing="0" w:line="276" w:lineRule="auto"/>
        <w:jc w:val="both"/>
        <w:rPr>
          <w:i/>
          <w:iCs/>
          <w:lang w:val="en-GB"/>
        </w:rPr>
      </w:pPr>
      <w:r>
        <w:rPr>
          <w:i/>
          <w:iCs/>
          <w:lang w:val="en-GB"/>
        </w:rPr>
        <w:t>_______________________________________________________________________________________</w:t>
      </w:r>
    </w:p>
    <w:p w14:paraId="2D54E342" w14:textId="77777777" w:rsidR="00A12FBC" w:rsidRPr="00301256" w:rsidRDefault="00A12FBC" w:rsidP="00A12FBC">
      <w:pPr>
        <w:pStyle w:val="Normlnweb"/>
        <w:spacing w:before="0" w:beforeAutospacing="0" w:after="240" w:afterAutospacing="0" w:line="276" w:lineRule="auto"/>
        <w:jc w:val="both"/>
        <w:rPr>
          <w:i/>
          <w:iCs/>
          <w:lang w:val="en-GB"/>
        </w:rPr>
      </w:pPr>
      <w:r w:rsidRPr="00301256">
        <w:rPr>
          <w:noProof/>
        </w:rPr>
        <w:drawing>
          <wp:anchor distT="0" distB="0" distL="114300" distR="114300" simplePos="0" relativeHeight="251659264" behindDoc="1" locked="0" layoutInCell="1" allowOverlap="1" wp14:anchorId="7E3C56AE" wp14:editId="18E4CF4F">
            <wp:simplePos x="0" y="0"/>
            <wp:positionH relativeFrom="margin">
              <wp:posOffset>5670550</wp:posOffset>
            </wp:positionH>
            <wp:positionV relativeFrom="paragraph">
              <wp:posOffset>14605</wp:posOffset>
            </wp:positionV>
            <wp:extent cx="939800" cy="309245"/>
            <wp:effectExtent l="0" t="0" r="0" b="0"/>
            <wp:wrapTight wrapText="bothSides">
              <wp:wrapPolygon edited="0">
                <wp:start x="0" y="0"/>
                <wp:lineTo x="0" y="19959"/>
                <wp:lineTo x="21016" y="19959"/>
                <wp:lineTo x="21016" y="0"/>
                <wp:lineTo x="0" y="0"/>
              </wp:wrapPolygon>
            </wp:wrapTight>
            <wp:docPr id="900145844" name="Obrázek 900145844" descr="Licence Creative Commons - Ústav vědecko-pedagogických informací a služ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cence Creative Commons - Ústav vědecko-pedagogických informací a služe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9800"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5C0F">
        <w:rPr>
          <w:i/>
          <w:iCs/>
        </w:rPr>
        <w:t>https://doi.org/10.11118/978-80-XXXX-XXX-X-XXXX</w:t>
      </w:r>
      <w:r>
        <w:rPr>
          <w:i/>
          <w:iCs/>
        </w:rPr>
        <w:tab/>
      </w:r>
    </w:p>
    <w:p w14:paraId="2C9F2A2D" w14:textId="77777777" w:rsidR="00A12FBC" w:rsidRPr="00301256" w:rsidRDefault="00A12FBC" w:rsidP="00A12FBC">
      <w:pPr>
        <w:pStyle w:val="Normlnweb"/>
        <w:spacing w:before="120" w:beforeAutospacing="0" w:after="120" w:afterAutospacing="0" w:line="276" w:lineRule="auto"/>
        <w:rPr>
          <w:shd w:val="clear" w:color="auto" w:fill="FFFFFF"/>
          <w:lang w:val="en-GB"/>
        </w:rPr>
      </w:pPr>
      <w:r w:rsidRPr="00301256">
        <w:rPr>
          <w:b/>
          <w:bCs/>
          <w:shd w:val="clear" w:color="auto" w:fill="FFFFFF"/>
          <w:lang w:val="en-GB"/>
        </w:rPr>
        <w:t>ABSTRAKT</w:t>
      </w:r>
    </w:p>
    <w:p w14:paraId="7121D9F6" w14:textId="77777777" w:rsidR="00A12FBC" w:rsidRPr="00301256" w:rsidRDefault="00A12FBC" w:rsidP="00A12FBC">
      <w:pPr>
        <w:pStyle w:val="Normlnweb"/>
        <w:spacing w:before="120" w:beforeAutospacing="0" w:after="120" w:afterAutospacing="0" w:line="360" w:lineRule="auto"/>
        <w:jc w:val="both"/>
        <w:rPr>
          <w:shd w:val="clear" w:color="auto" w:fill="FFFFFF"/>
          <w:lang w:val="en-GB"/>
        </w:rPr>
      </w:pPr>
      <w:r w:rsidRPr="00301256">
        <w:rPr>
          <w:shd w:val="clear" w:color="auto" w:fill="FFFFFF"/>
          <w:lang w:val="en-GB"/>
        </w:rPr>
        <w:t xml:space="preserve">Bobr evropský se v Evropě, potažmo v České republice, stal z raritního zvířete běžným druhem. Stejně jako v minulosti se bobr dostává do konfliktu se zájmy člověka, a v některých oblastech bylo přistoupeno k regulaci tohoto druhu. Lovcům s patřičným povolením se tedy opět nabízí možnost využití bobřího masa. Polokonzervy jsou velmi dobrým způsobem, jak využít maso bobra. Polokonzerva s bobřím masem obsahovala více bílkovin a nižší množství celkového tuku (p ˂ 0,05). Výsledný produkt měl i tmavší zbarvení (p ˂ 0,05) a vykazoval výborné senzorické vlastnosti. </w:t>
      </w:r>
    </w:p>
    <w:p w14:paraId="3AB3957F" w14:textId="77777777" w:rsidR="00A12FBC" w:rsidRPr="00301256" w:rsidRDefault="00A12FBC" w:rsidP="00A12FBC">
      <w:pPr>
        <w:pStyle w:val="Normlnweb"/>
        <w:spacing w:before="120" w:beforeAutospacing="0" w:after="240" w:afterAutospacing="0" w:line="276" w:lineRule="auto"/>
        <w:rPr>
          <w:shd w:val="clear" w:color="auto" w:fill="FFFFFF"/>
          <w:lang w:val="en-GB"/>
        </w:rPr>
      </w:pPr>
      <w:r w:rsidRPr="00301256">
        <w:rPr>
          <w:i/>
          <w:iCs/>
          <w:shd w:val="clear" w:color="auto" w:fill="FFFFFF"/>
          <w:lang w:val="en-GB"/>
        </w:rPr>
        <w:t>Klíčová slova: chráněný druh, bobr, zvěřina, konzervace masa</w:t>
      </w:r>
    </w:p>
    <w:p w14:paraId="167B0EF8" w14:textId="77777777" w:rsidR="00A12FBC" w:rsidRPr="00301256" w:rsidRDefault="00A12FBC" w:rsidP="00A12FBC">
      <w:pPr>
        <w:pStyle w:val="Normlnweb"/>
        <w:spacing w:before="120" w:beforeAutospacing="0" w:after="120" w:afterAutospacing="0" w:line="276" w:lineRule="auto"/>
        <w:rPr>
          <w:shd w:val="clear" w:color="auto" w:fill="FFFFFF"/>
          <w:lang w:val="en-GB"/>
        </w:rPr>
      </w:pPr>
      <w:r w:rsidRPr="00301256">
        <w:rPr>
          <w:b/>
          <w:bCs/>
          <w:shd w:val="clear" w:color="auto" w:fill="FFFFFF"/>
          <w:lang w:val="en-GB"/>
        </w:rPr>
        <w:t xml:space="preserve">ABSTRACT </w:t>
      </w:r>
    </w:p>
    <w:p w14:paraId="09F9EDCE" w14:textId="77777777" w:rsidR="00A12FBC" w:rsidRPr="00301256" w:rsidRDefault="00A12FBC" w:rsidP="00A12FBC">
      <w:pPr>
        <w:pStyle w:val="Normlnweb"/>
        <w:spacing w:before="120" w:beforeAutospacing="0" w:after="120" w:afterAutospacing="0" w:line="360" w:lineRule="auto"/>
        <w:jc w:val="both"/>
        <w:rPr>
          <w:shd w:val="clear" w:color="auto" w:fill="FFFFFF"/>
          <w:lang w:val="en-GB"/>
        </w:rPr>
      </w:pPr>
      <w:r w:rsidRPr="00301256">
        <w:rPr>
          <w:shd w:val="clear" w:color="auto" w:fill="FFFFFF"/>
          <w:lang w:val="en-GB"/>
        </w:rPr>
        <w:t>The Eurasian beaver (</w:t>
      </w:r>
      <w:r w:rsidRPr="00301256">
        <w:rPr>
          <w:i/>
          <w:iCs/>
          <w:shd w:val="clear" w:color="auto" w:fill="FFFFFF"/>
          <w:lang w:val="en-GB"/>
        </w:rPr>
        <w:t xml:space="preserve">Castor fiber </w:t>
      </w:r>
      <w:r w:rsidRPr="00301256">
        <w:rPr>
          <w:shd w:val="clear" w:color="auto" w:fill="FFFFFF"/>
          <w:lang w:val="en-GB"/>
        </w:rPr>
        <w:t xml:space="preserve">L.) has become a common species in Europe, especially in the Czech Republic. As in the past, the beaver has come into conflict with human interests and the species has been regulated in some areas. Hunters with the appropriate permits are therefore once again able to use beaver meat. Semi-canned meat is a very good way to use beaver meat. The semi-canned beaver contained more protein and less total fat (p ˂ 0.05). The resulting product was also darker in colour (p ˂ 0.05) and had excellent sensory characteristics. </w:t>
      </w:r>
    </w:p>
    <w:p w14:paraId="5424A3AB" w14:textId="77777777" w:rsidR="00A12FBC" w:rsidRPr="00301256" w:rsidRDefault="00A12FBC" w:rsidP="00A12FBC">
      <w:pPr>
        <w:pStyle w:val="Normlnweb"/>
        <w:spacing w:before="120" w:beforeAutospacing="0" w:after="240" w:afterAutospacing="0" w:line="276" w:lineRule="auto"/>
        <w:jc w:val="both"/>
        <w:rPr>
          <w:i/>
          <w:iCs/>
          <w:shd w:val="clear" w:color="auto" w:fill="FFFFFF"/>
          <w:lang w:val="en-GB"/>
        </w:rPr>
      </w:pPr>
      <w:r w:rsidRPr="00301256">
        <w:rPr>
          <w:i/>
          <w:iCs/>
          <w:shd w:val="clear" w:color="auto" w:fill="FFFFFF"/>
          <w:lang w:val="en-US"/>
        </w:rPr>
        <w:t>Keywords: protected species, beaver, game, preserved meat</w:t>
      </w:r>
    </w:p>
    <w:p w14:paraId="1CA7BAEE" w14:textId="77777777" w:rsidR="00A12FBC" w:rsidRPr="00801EFB" w:rsidRDefault="00A12FBC" w:rsidP="00A12FBC">
      <w:pPr>
        <w:spacing w:after="0" w:line="360" w:lineRule="auto"/>
        <w:jc w:val="both"/>
        <w:rPr>
          <w:rFonts w:ascii="Times New Roman" w:hAnsi="Times New Roman"/>
          <w:b/>
          <w:bCs/>
          <w:sz w:val="24"/>
        </w:rPr>
      </w:pPr>
      <w:r w:rsidRPr="00801EFB">
        <w:rPr>
          <w:rFonts w:ascii="Times New Roman" w:hAnsi="Times New Roman"/>
          <w:b/>
          <w:bCs/>
          <w:sz w:val="24"/>
        </w:rPr>
        <w:t>ÚVOD</w:t>
      </w:r>
      <w:r>
        <w:rPr>
          <w:rFonts w:ascii="Times New Roman" w:hAnsi="Times New Roman"/>
          <w:b/>
          <w:bCs/>
          <w:sz w:val="24"/>
        </w:rPr>
        <w:t xml:space="preserve"> </w:t>
      </w:r>
      <w:r w:rsidRPr="00801EFB">
        <w:rPr>
          <w:rFonts w:ascii="Times New Roman" w:hAnsi="Times New Roman"/>
          <w:b/>
          <w:bCs/>
          <w:sz w:val="24"/>
        </w:rPr>
        <w:t>/</w:t>
      </w:r>
      <w:r>
        <w:rPr>
          <w:rFonts w:ascii="Times New Roman" w:hAnsi="Times New Roman"/>
          <w:b/>
          <w:bCs/>
          <w:sz w:val="24"/>
        </w:rPr>
        <w:t xml:space="preserve"> </w:t>
      </w:r>
      <w:r w:rsidRPr="00801EFB">
        <w:rPr>
          <w:rFonts w:ascii="Times New Roman" w:hAnsi="Times New Roman"/>
          <w:b/>
          <w:bCs/>
          <w:sz w:val="24"/>
        </w:rPr>
        <w:t>INTRODUCTION</w:t>
      </w:r>
    </w:p>
    <w:p w14:paraId="69BAEDD6" w14:textId="77777777" w:rsidR="00A12FBC" w:rsidRDefault="00A12FBC" w:rsidP="00A12FBC">
      <w:pPr>
        <w:spacing w:after="120" w:line="360" w:lineRule="auto"/>
        <w:jc w:val="both"/>
        <w:rPr>
          <w:rFonts w:ascii="Times New Roman" w:hAnsi="Times New Roman"/>
          <w:sz w:val="24"/>
          <w:szCs w:val="24"/>
        </w:rPr>
      </w:pPr>
      <w:r>
        <w:rPr>
          <w:rFonts w:ascii="Times New Roman" w:hAnsi="Times New Roman"/>
          <w:sz w:val="24"/>
          <w:szCs w:val="24"/>
        </w:rPr>
        <w:t>Udržitelnost potravinových zdrojů je v dnešní době stále aktuálnějším tématem (Qu et al., 2024). Maso volně žijících zvířat obsahuje kvalitní bílkoviny, esenciální mastné kyseliny a minerální látky. Konzumace zvěřiny může být považována za udržitelnější alternativu k masu pocházejícímu z hospodářsky chovaných zvířat. Tato alternativa může přinést snížení environmentálního dopadu spojeného s intenzivním chovem hospodářských zvířat, včetně emisí skleníkových plynů a spotřeby vody (Enns et al., 2023).</w:t>
      </w:r>
    </w:p>
    <w:p w14:paraId="43431F7B" w14:textId="77777777" w:rsidR="00A12FBC" w:rsidRDefault="00A12FBC" w:rsidP="00A12FBC">
      <w:pPr>
        <w:spacing w:after="120" w:line="360" w:lineRule="auto"/>
        <w:jc w:val="both"/>
        <w:rPr>
          <w:rFonts w:ascii="Times New Roman" w:hAnsi="Times New Roman"/>
          <w:sz w:val="24"/>
          <w:szCs w:val="24"/>
        </w:rPr>
      </w:pPr>
      <w:r>
        <w:rPr>
          <w:rFonts w:ascii="Times New Roman" w:hAnsi="Times New Roman"/>
          <w:sz w:val="24"/>
          <w:szCs w:val="24"/>
        </w:rPr>
        <w:t>Maso bobra evropského (</w:t>
      </w:r>
      <w:r>
        <w:rPr>
          <w:rFonts w:ascii="Times New Roman" w:hAnsi="Times New Roman"/>
          <w:i/>
          <w:iCs/>
          <w:sz w:val="24"/>
          <w:szCs w:val="24"/>
        </w:rPr>
        <w:t xml:space="preserve">Castor fiber </w:t>
      </w:r>
      <w:r>
        <w:rPr>
          <w:rFonts w:ascii="Times New Roman" w:hAnsi="Times New Roman"/>
          <w:sz w:val="24"/>
          <w:szCs w:val="24"/>
        </w:rPr>
        <w:t xml:space="preserve">L.) bylo v minulosti běžnou součástí jídelníčku některých obyvatel evropského kontinentu (Halley et al., 2012). Capobianco et al. (2023) uvádí, že na počátku 20. století však zůstaly v Evropě pouze omezené populace tohoto druhu, přibližně kolem 1 200 jedinců. V současné době však došlo díky striktní ochraně druhu k obnově bobřích populací. Bobři jsou nyní rozšířeni ve většině evropských </w:t>
      </w:r>
      <w:r>
        <w:rPr>
          <w:rFonts w:ascii="Times New Roman" w:hAnsi="Times New Roman"/>
          <w:sz w:val="24"/>
          <w:szCs w:val="24"/>
        </w:rPr>
        <w:lastRenderedPageBreak/>
        <w:t>zemí. S tímto rozšířením vzniká opět možnost využití bobřího masa, zvláště v oblastech, kde se řízeně reguluje počet bobřích jedinců v reakci na eskalaci konfliktů se zájmy člověka (Wróbel, 2020).</w:t>
      </w:r>
    </w:p>
    <w:p w14:paraId="011B8B60" w14:textId="77777777" w:rsidR="00A12FBC" w:rsidRDefault="00A12FBC" w:rsidP="00A12FBC">
      <w:pPr>
        <w:spacing w:after="120" w:line="360" w:lineRule="auto"/>
        <w:jc w:val="both"/>
        <w:rPr>
          <w:rFonts w:ascii="Times New Roman" w:hAnsi="Times New Roman"/>
          <w:sz w:val="24"/>
          <w:szCs w:val="24"/>
        </w:rPr>
      </w:pPr>
      <w:r>
        <w:rPr>
          <w:rFonts w:ascii="Times New Roman" w:hAnsi="Times New Roman"/>
          <w:sz w:val="24"/>
          <w:szCs w:val="24"/>
        </w:rPr>
        <w:t xml:space="preserve">Tyndalizace představuje metodu, při níž jsou potraviny opakovaně podrobeny tepelnému ošetření s mezičasy mezi jednotlivými cykly. Tradiční implementace této metody zahrnuje tři cykly tepelného zpracování při teplotě nepřesahující 100 °C. Tato technika je efektivní v inaktivaci mikroorganismů ve vegetativní formě </w:t>
      </w:r>
      <w:r>
        <w:rPr>
          <w:rFonts w:ascii="Times New Roman" w:hAnsi="Times New Roman"/>
          <w:sz w:val="24"/>
          <w:szCs w:val="24"/>
        </w:rPr>
        <w:br/>
        <w:t>a odstraňování většiny</w:t>
      </w:r>
      <w:r>
        <w:rPr>
          <w:rFonts w:ascii="Times New Roman" w:hAnsi="Times New Roman"/>
        </w:rPr>
        <w:t xml:space="preserve"> </w:t>
      </w:r>
      <w:r>
        <w:rPr>
          <w:rFonts w:ascii="Times New Roman" w:hAnsi="Times New Roman"/>
          <w:sz w:val="24"/>
          <w:szCs w:val="24"/>
        </w:rPr>
        <w:t xml:space="preserve">termorezistentních spor. Tato metoda nabízí perspektivu pro delší uchování potravin při zachování jejich kvality a zároveň zohledňuje požadavky na udržitelnost a energetickou efektivitu </w:t>
      </w:r>
      <w:r>
        <w:rPr>
          <w:rFonts w:ascii="Times New Roman" w:hAnsi="Times New Roman"/>
          <w:sz w:val="24"/>
          <w:szCs w:val="24"/>
        </w:rPr>
        <w:br/>
        <w:t>v potravinářském průmyslu (Keratimanoch, 2022).</w:t>
      </w:r>
    </w:p>
    <w:p w14:paraId="18BEA59D" w14:textId="77777777" w:rsidR="00A12FBC" w:rsidRPr="00801EFB" w:rsidRDefault="00A12FBC" w:rsidP="00A12FBC">
      <w:pPr>
        <w:spacing w:after="0" w:line="360" w:lineRule="auto"/>
        <w:jc w:val="both"/>
        <w:rPr>
          <w:rFonts w:ascii="Times New Roman" w:hAnsi="Times New Roman"/>
          <w:b/>
          <w:bCs/>
          <w:sz w:val="24"/>
        </w:rPr>
      </w:pPr>
      <w:r w:rsidRPr="00801EFB">
        <w:rPr>
          <w:rFonts w:ascii="Times New Roman" w:hAnsi="Times New Roman"/>
          <w:b/>
          <w:bCs/>
          <w:sz w:val="24"/>
        </w:rPr>
        <w:t>MATERIÁL A METODIKA</w:t>
      </w:r>
      <w:r>
        <w:rPr>
          <w:rFonts w:ascii="Times New Roman" w:hAnsi="Times New Roman"/>
          <w:b/>
          <w:bCs/>
          <w:sz w:val="24"/>
        </w:rPr>
        <w:t xml:space="preserve"> </w:t>
      </w:r>
      <w:r w:rsidRPr="00801EFB">
        <w:rPr>
          <w:rFonts w:ascii="Times New Roman" w:hAnsi="Times New Roman"/>
          <w:b/>
          <w:bCs/>
          <w:sz w:val="24"/>
        </w:rPr>
        <w:t>/</w:t>
      </w:r>
      <w:r>
        <w:rPr>
          <w:rFonts w:ascii="Times New Roman" w:hAnsi="Times New Roman"/>
          <w:b/>
          <w:bCs/>
          <w:sz w:val="24"/>
        </w:rPr>
        <w:t xml:space="preserve"> </w:t>
      </w:r>
      <w:r w:rsidRPr="00801EFB">
        <w:rPr>
          <w:rFonts w:ascii="Times New Roman" w:hAnsi="Times New Roman"/>
          <w:b/>
          <w:bCs/>
          <w:sz w:val="24"/>
        </w:rPr>
        <w:t>MATERI</w:t>
      </w:r>
      <w:r>
        <w:rPr>
          <w:rFonts w:ascii="Times New Roman" w:hAnsi="Times New Roman"/>
          <w:b/>
          <w:bCs/>
          <w:sz w:val="24"/>
        </w:rPr>
        <w:t>A</w:t>
      </w:r>
      <w:r w:rsidRPr="00801EFB">
        <w:rPr>
          <w:rFonts w:ascii="Times New Roman" w:hAnsi="Times New Roman"/>
          <w:b/>
          <w:bCs/>
          <w:sz w:val="24"/>
        </w:rPr>
        <w:t>L AND METHODS</w:t>
      </w:r>
    </w:p>
    <w:p w14:paraId="64E4334D" w14:textId="77777777" w:rsidR="00A12FBC" w:rsidRDefault="00A12FBC" w:rsidP="00A12FBC">
      <w:pPr>
        <w:spacing w:after="0" w:line="360" w:lineRule="auto"/>
        <w:jc w:val="both"/>
        <w:rPr>
          <w:rFonts w:ascii="Times New Roman" w:hAnsi="Times New Roman"/>
          <w:b/>
          <w:bCs/>
          <w:sz w:val="24"/>
        </w:rPr>
      </w:pPr>
      <w:r>
        <w:rPr>
          <w:rFonts w:ascii="Times New Roman" w:hAnsi="Times New Roman"/>
          <w:b/>
          <w:bCs/>
          <w:sz w:val="24"/>
        </w:rPr>
        <w:t>Získání masa</w:t>
      </w:r>
    </w:p>
    <w:p w14:paraId="21911051"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Vzorky volně žijících bobrů byly odloveny z okolí soustavy rybníků u Pohořelic na jihu Moravy (asi 40 km od Brna) v období od února do března 2023. Lov a následná manipulace s bobrem evropským, což je druh zvláště chráněný, probíhala v souladu se všemi platnými právními předpisy. Lov bobra probíhal na základě povolení vydaného Krajským úřadem Jihomoravského kraje, odborem životního prostředí, pod evidenčním číslem JMK 107931/2020. Je důležité zdůraznit, že odlov byl prováděn v souladu s příslušnými regulačními opatřeními, aby byla zachována rovnováha v ekosystému. Povolení k lovu bylo uděleno v reakci na identifikované problémy spojené s výskytem bobrů a jejich dopadem na životní prostředí a ekonomiku dané oblasti.</w:t>
      </w:r>
    </w:p>
    <w:p w14:paraId="552BAE78"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Zvířata byla zastřelena a vyvržena v co nejkratším čase, vždy nejpozději do 1 hodiny od usmrcení. Následně byla v souladu s Nařízením Evropského Parlamentu a Rady (ES) č. 853/2004 provedena kontrola každého kusu včetně vnitřních orgánů proškolenou osobou. Pro dodržení hygienických a bezpečnostních standardů byla těla vyvržených zvířat zchlazena na teplotu nižší než 4 °C.</w:t>
      </w:r>
    </w:p>
    <w:p w14:paraId="07D11088" w14:textId="77777777" w:rsidR="00A12FBC" w:rsidRDefault="00A12FBC" w:rsidP="00A12FBC">
      <w:pPr>
        <w:spacing w:after="120" w:line="360" w:lineRule="auto"/>
        <w:jc w:val="both"/>
        <w:rPr>
          <w:rFonts w:ascii="Times New Roman" w:hAnsi="Times New Roman"/>
          <w:sz w:val="24"/>
          <w:szCs w:val="24"/>
        </w:rPr>
      </w:pPr>
      <w:r>
        <w:rPr>
          <w:rFonts w:ascii="Times New Roman" w:hAnsi="Times New Roman"/>
          <w:sz w:val="24"/>
          <w:szCs w:val="24"/>
        </w:rPr>
        <w:t>Následně, nejpozději druhý den, byly vzorky přepraveny na Mendelovu univerzitu v Brně. V masné výrobně Ústavu technologie potravin (Mendelova univerzita, CZ22067) byly vzorky staženy z kůže, vykostěny a bylo získáno bobří maso z kýt. Vepřové a hovězí maso bylo pořízeno z lokálních jatek (Jatka Ivančice). V den výroby bylo maso z jatek dopraveno do masné výrobny.</w:t>
      </w:r>
    </w:p>
    <w:p w14:paraId="7A73EA33" w14:textId="77777777" w:rsidR="00A12FBC" w:rsidRDefault="00A12FBC" w:rsidP="00A12FBC">
      <w:pPr>
        <w:spacing w:after="0" w:line="360" w:lineRule="auto"/>
        <w:jc w:val="both"/>
        <w:rPr>
          <w:rFonts w:ascii="Times New Roman" w:hAnsi="Times New Roman"/>
          <w:sz w:val="24"/>
        </w:rPr>
      </w:pPr>
      <w:r>
        <w:rPr>
          <w:rFonts w:ascii="Times New Roman" w:hAnsi="Times New Roman"/>
          <w:b/>
          <w:bCs/>
          <w:sz w:val="24"/>
        </w:rPr>
        <w:t>Výroba polokonzerv</w:t>
      </w:r>
    </w:p>
    <w:p w14:paraId="4BEC9A97"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 xml:space="preserve">Masové polokonzervy byly připraveny ve dvou tříkilogramových šaržích dle receptury uvedené v Tabulce 1. Hovězí libové maso (HPV), bobří libové maso, vepřové výrobní maso (VV b. k.)) a vařené vepřové kůže byly pečlivě ručně nakrájeny na menší kousky, následně mechanicky rozmělněny na kousky o velikosti 8 mm pomocí řezačky (TMP 23-98) a smíchány se solí a kořením (MAINCA RC-100). Mleté maso bylo ručně plněno do předem vyčištěných zavařovacích sklenic a uzavřeno. Následně byly všechny sklenice tepelně ošetřeny v konvektomatu při teplotě 85 °C po dobu 2,5 hodiny a poté rychle zchlazeny na teplotu 20 °C. </w:t>
      </w:r>
      <w:r>
        <w:rPr>
          <w:rFonts w:ascii="Times New Roman" w:hAnsi="Times New Roman"/>
          <w:sz w:val="24"/>
        </w:rPr>
        <w:br/>
        <w:t>Po uplynutí 24 hodin při teplotě 20 °C byly sklenice znovu podrobeny tepelnému zpracování (85 °C po dobu 2 hodin) a následně zchlazeny na teplotu 4 °C. Po týdnu skladování bylo přistoupeno k analýzám.</w:t>
      </w:r>
    </w:p>
    <w:p w14:paraId="4EF37AA1" w14:textId="77777777" w:rsidR="00A12FBC" w:rsidRPr="005257DB" w:rsidRDefault="00A12FBC" w:rsidP="00A75CED">
      <w:pPr>
        <w:pStyle w:val="Titulek"/>
        <w:keepNext/>
        <w:spacing w:after="60"/>
        <w:rPr>
          <w:rFonts w:ascii="Times New Roman" w:hAnsi="Times New Roman"/>
          <w:i w:val="0"/>
          <w:iCs w:val="0"/>
          <w:color w:val="000000" w:themeColor="text1"/>
          <w:sz w:val="22"/>
          <w:szCs w:val="22"/>
        </w:rPr>
      </w:pPr>
      <w:r w:rsidRPr="005257DB">
        <w:rPr>
          <w:rFonts w:ascii="Times New Roman" w:hAnsi="Times New Roman"/>
          <w:b/>
          <w:bCs/>
          <w:i w:val="0"/>
          <w:iCs w:val="0"/>
          <w:color w:val="000000" w:themeColor="text1"/>
          <w:sz w:val="22"/>
          <w:szCs w:val="22"/>
        </w:rPr>
        <w:lastRenderedPageBreak/>
        <w:t xml:space="preserve">Tabulka </w:t>
      </w:r>
      <w:r w:rsidRPr="005257DB">
        <w:rPr>
          <w:rFonts w:ascii="Times New Roman" w:hAnsi="Times New Roman"/>
          <w:b/>
          <w:bCs/>
          <w:i w:val="0"/>
          <w:iCs w:val="0"/>
          <w:color w:val="000000" w:themeColor="text1"/>
          <w:sz w:val="22"/>
          <w:szCs w:val="22"/>
        </w:rPr>
        <w:fldChar w:fldCharType="begin"/>
      </w:r>
      <w:r w:rsidRPr="005257DB">
        <w:rPr>
          <w:rFonts w:ascii="Times New Roman" w:hAnsi="Times New Roman"/>
          <w:b/>
          <w:bCs/>
          <w:i w:val="0"/>
          <w:iCs w:val="0"/>
          <w:color w:val="000000" w:themeColor="text1"/>
          <w:sz w:val="22"/>
          <w:szCs w:val="22"/>
        </w:rPr>
        <w:instrText xml:space="preserve"> SEQ Tabulka \* ARABIC </w:instrText>
      </w:r>
      <w:r w:rsidRPr="005257DB">
        <w:rPr>
          <w:rFonts w:ascii="Times New Roman" w:hAnsi="Times New Roman"/>
          <w:b/>
          <w:bCs/>
          <w:i w:val="0"/>
          <w:iCs w:val="0"/>
          <w:color w:val="000000" w:themeColor="text1"/>
          <w:sz w:val="22"/>
          <w:szCs w:val="22"/>
        </w:rPr>
        <w:fldChar w:fldCharType="separate"/>
      </w:r>
      <w:r>
        <w:rPr>
          <w:rFonts w:ascii="Times New Roman" w:hAnsi="Times New Roman"/>
          <w:b/>
          <w:bCs/>
          <w:i w:val="0"/>
          <w:iCs w:val="0"/>
          <w:noProof/>
          <w:color w:val="000000" w:themeColor="text1"/>
          <w:sz w:val="22"/>
          <w:szCs w:val="22"/>
        </w:rPr>
        <w:t>1</w:t>
      </w:r>
      <w:r w:rsidRPr="005257DB">
        <w:rPr>
          <w:rFonts w:ascii="Times New Roman" w:hAnsi="Times New Roman"/>
          <w:b/>
          <w:bCs/>
          <w:i w:val="0"/>
          <w:iCs w:val="0"/>
          <w:color w:val="000000" w:themeColor="text1"/>
          <w:sz w:val="22"/>
          <w:szCs w:val="22"/>
        </w:rPr>
        <w:fldChar w:fldCharType="end"/>
      </w:r>
      <w:r w:rsidRPr="005257DB">
        <w:rPr>
          <w:rFonts w:ascii="Times New Roman" w:hAnsi="Times New Roman"/>
          <w:b/>
          <w:bCs/>
          <w:i w:val="0"/>
          <w:iCs w:val="0"/>
          <w:color w:val="000000" w:themeColor="text1"/>
          <w:sz w:val="22"/>
          <w:szCs w:val="22"/>
        </w:rPr>
        <w:t>:</w:t>
      </w:r>
      <w:r w:rsidRPr="005257DB">
        <w:rPr>
          <w:rFonts w:ascii="Times New Roman" w:hAnsi="Times New Roman"/>
          <w:i w:val="0"/>
          <w:iCs w:val="0"/>
          <w:color w:val="000000" w:themeColor="text1"/>
          <w:sz w:val="22"/>
          <w:szCs w:val="22"/>
        </w:rPr>
        <w:t xml:space="preserve"> Receptury polokonzerv </w:t>
      </w:r>
      <w:r w:rsidRPr="005257DB">
        <w:rPr>
          <w:rFonts w:ascii="Times New Roman" w:hAnsi="Times New Roman"/>
          <w:i w:val="0"/>
          <w:iCs w:val="0"/>
          <w:color w:val="000000"/>
          <w:sz w:val="22"/>
          <w:szCs w:val="22"/>
        </w:rPr>
        <w:t>(kg·100 kg</w:t>
      </w:r>
      <w:r w:rsidRPr="005257DB">
        <w:rPr>
          <w:rFonts w:ascii="Times New Roman" w:hAnsi="Times New Roman"/>
          <w:i w:val="0"/>
          <w:iCs w:val="0"/>
          <w:color w:val="000000"/>
          <w:sz w:val="22"/>
          <w:szCs w:val="22"/>
          <w:vertAlign w:val="superscript"/>
        </w:rPr>
        <w:t>-1</w:t>
      </w:r>
      <w:r w:rsidRPr="005257DB">
        <w:rPr>
          <w:rFonts w:ascii="Times New Roman" w:hAnsi="Times New Roman"/>
          <w:i w:val="0"/>
          <w:iCs w:val="0"/>
          <w:color w:val="000000"/>
          <w:sz w:val="22"/>
          <w:szCs w:val="22"/>
        </w:rPr>
        <w:t>)</w:t>
      </w:r>
    </w:p>
    <w:tbl>
      <w:tblPr>
        <w:tblStyle w:val="Styl1"/>
        <w:tblW w:w="5000" w:type="pct"/>
        <w:tblLook w:val="04A0" w:firstRow="1" w:lastRow="0" w:firstColumn="1" w:lastColumn="0" w:noHBand="0" w:noVBand="1"/>
      </w:tblPr>
      <w:tblGrid>
        <w:gridCol w:w="3490"/>
        <w:gridCol w:w="3489"/>
        <w:gridCol w:w="3487"/>
      </w:tblGrid>
      <w:tr w:rsidR="00A12FBC" w:rsidRPr="005257DB" w14:paraId="75EB0485" w14:textId="77777777" w:rsidTr="00CF652F">
        <w:trPr>
          <w:cnfStyle w:val="100000000000" w:firstRow="1" w:lastRow="0" w:firstColumn="0" w:lastColumn="0" w:oddVBand="0" w:evenVBand="0" w:oddHBand="0" w:evenHBand="0" w:firstRowFirstColumn="0" w:firstRowLastColumn="0" w:lastRowFirstColumn="0" w:lastRowLastColumn="0"/>
          <w:trHeight w:val="283"/>
        </w:trPr>
        <w:tc>
          <w:tcPr>
            <w:tcW w:w="1667" w:type="pct"/>
            <w:noWrap/>
            <w:vAlign w:val="center"/>
            <w:hideMark/>
          </w:tcPr>
          <w:p w14:paraId="6DB46247" w14:textId="77777777" w:rsidR="00A12FBC" w:rsidRPr="005257DB" w:rsidRDefault="00A12FBC" w:rsidP="00A75CED">
            <w:pPr>
              <w:spacing w:after="0"/>
              <w:jc w:val="center"/>
              <w:rPr>
                <w:rFonts w:ascii="Times New Roman" w:hAnsi="Times New Roman"/>
                <w:i/>
                <w:iCs/>
                <w:color w:val="000000" w:themeColor="text1"/>
              </w:rPr>
            </w:pPr>
          </w:p>
        </w:tc>
        <w:tc>
          <w:tcPr>
            <w:tcW w:w="1667" w:type="pct"/>
            <w:vAlign w:val="center"/>
            <w:hideMark/>
          </w:tcPr>
          <w:p w14:paraId="3C2B3E4C" w14:textId="77777777" w:rsidR="00A12FBC" w:rsidRPr="005257DB" w:rsidRDefault="00A12FBC" w:rsidP="00A75CED">
            <w:pPr>
              <w:spacing w:after="0"/>
              <w:jc w:val="center"/>
              <w:rPr>
                <w:rFonts w:ascii="Times New Roman" w:hAnsi="Times New Roman"/>
                <w:b/>
                <w:bCs/>
                <w:color w:val="000000"/>
              </w:rPr>
            </w:pPr>
            <w:r w:rsidRPr="005257DB">
              <w:rPr>
                <w:rFonts w:ascii="Times New Roman" w:hAnsi="Times New Roman"/>
                <w:b/>
                <w:bCs/>
                <w:color w:val="000000"/>
              </w:rPr>
              <w:t>Polokonzerva s hovězím masem (kontrolní výrobek)</w:t>
            </w:r>
          </w:p>
        </w:tc>
        <w:tc>
          <w:tcPr>
            <w:tcW w:w="1667" w:type="pct"/>
            <w:vAlign w:val="center"/>
            <w:hideMark/>
          </w:tcPr>
          <w:p w14:paraId="6201B0DD" w14:textId="77777777" w:rsidR="00A12FBC" w:rsidRPr="005257DB" w:rsidRDefault="00A12FBC" w:rsidP="00A75CED">
            <w:pPr>
              <w:spacing w:after="0"/>
              <w:jc w:val="center"/>
              <w:rPr>
                <w:rFonts w:ascii="Times New Roman" w:hAnsi="Times New Roman"/>
                <w:b/>
                <w:bCs/>
                <w:color w:val="000000"/>
              </w:rPr>
            </w:pPr>
            <w:r w:rsidRPr="005257DB">
              <w:rPr>
                <w:rFonts w:ascii="Times New Roman" w:hAnsi="Times New Roman"/>
                <w:b/>
                <w:bCs/>
                <w:color w:val="000000"/>
              </w:rPr>
              <w:t>Polokonzerva s bobřím masem</w:t>
            </w:r>
          </w:p>
        </w:tc>
      </w:tr>
      <w:tr w:rsidR="00A12FBC" w:rsidRPr="005257DB" w14:paraId="3AE5F390" w14:textId="77777777" w:rsidTr="00CF652F">
        <w:trPr>
          <w:trHeight w:val="283"/>
        </w:trPr>
        <w:tc>
          <w:tcPr>
            <w:tcW w:w="1667" w:type="pct"/>
            <w:tcBorders>
              <w:top w:val="single" w:sz="12" w:space="0" w:color="808080" w:themeColor="background1" w:themeShade="80"/>
              <w:bottom w:val="single" w:sz="4" w:space="0" w:color="auto"/>
            </w:tcBorders>
            <w:noWrap/>
            <w:vAlign w:val="center"/>
            <w:hideMark/>
          </w:tcPr>
          <w:p w14:paraId="54195448"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color w:val="000000"/>
              </w:rPr>
              <w:t>Hovězí přední výrobní</w:t>
            </w:r>
          </w:p>
        </w:tc>
        <w:tc>
          <w:tcPr>
            <w:tcW w:w="1667" w:type="pct"/>
            <w:tcBorders>
              <w:top w:val="single" w:sz="12" w:space="0" w:color="808080" w:themeColor="background1" w:themeShade="80"/>
              <w:bottom w:val="single" w:sz="4" w:space="0" w:color="auto"/>
            </w:tcBorders>
            <w:noWrap/>
            <w:vAlign w:val="center"/>
            <w:hideMark/>
          </w:tcPr>
          <w:p w14:paraId="6AC332A2"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37,28</w:t>
            </w:r>
          </w:p>
        </w:tc>
        <w:tc>
          <w:tcPr>
            <w:tcW w:w="1667" w:type="pct"/>
            <w:tcBorders>
              <w:top w:val="single" w:sz="12" w:space="0" w:color="808080" w:themeColor="background1" w:themeShade="80"/>
              <w:bottom w:val="single" w:sz="4" w:space="0" w:color="auto"/>
            </w:tcBorders>
            <w:noWrap/>
            <w:vAlign w:val="center"/>
            <w:hideMark/>
          </w:tcPr>
          <w:p w14:paraId="5D7A60F1"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0,0</w:t>
            </w:r>
          </w:p>
        </w:tc>
      </w:tr>
      <w:tr w:rsidR="00A12FBC" w:rsidRPr="005257DB" w14:paraId="6A5EB614" w14:textId="77777777" w:rsidTr="00CF652F">
        <w:trPr>
          <w:trHeight w:val="283"/>
        </w:trPr>
        <w:tc>
          <w:tcPr>
            <w:tcW w:w="1667" w:type="pct"/>
            <w:tcBorders>
              <w:top w:val="single" w:sz="4" w:space="0" w:color="auto"/>
              <w:bottom w:val="single" w:sz="4" w:space="0" w:color="auto"/>
            </w:tcBorders>
            <w:noWrap/>
            <w:vAlign w:val="center"/>
            <w:hideMark/>
          </w:tcPr>
          <w:p w14:paraId="22BDB860"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color w:val="000000"/>
              </w:rPr>
              <w:t>Bobří libové</w:t>
            </w:r>
          </w:p>
        </w:tc>
        <w:tc>
          <w:tcPr>
            <w:tcW w:w="1667" w:type="pct"/>
            <w:tcBorders>
              <w:top w:val="single" w:sz="4" w:space="0" w:color="auto"/>
              <w:bottom w:val="single" w:sz="4" w:space="0" w:color="auto"/>
            </w:tcBorders>
            <w:vAlign w:val="center"/>
            <w:hideMark/>
          </w:tcPr>
          <w:p w14:paraId="63570547"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0,0</w:t>
            </w:r>
          </w:p>
        </w:tc>
        <w:tc>
          <w:tcPr>
            <w:tcW w:w="1667" w:type="pct"/>
            <w:tcBorders>
              <w:top w:val="single" w:sz="4" w:space="0" w:color="auto"/>
              <w:bottom w:val="single" w:sz="4" w:space="0" w:color="auto"/>
            </w:tcBorders>
            <w:vAlign w:val="center"/>
            <w:hideMark/>
          </w:tcPr>
          <w:p w14:paraId="1C725CCC"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37,28</w:t>
            </w:r>
          </w:p>
        </w:tc>
      </w:tr>
      <w:tr w:rsidR="00A12FBC" w:rsidRPr="005257DB" w14:paraId="2C891E4D" w14:textId="77777777" w:rsidTr="00CF652F">
        <w:trPr>
          <w:trHeight w:val="283"/>
        </w:trPr>
        <w:tc>
          <w:tcPr>
            <w:tcW w:w="1667" w:type="pct"/>
            <w:tcBorders>
              <w:top w:val="single" w:sz="4" w:space="0" w:color="auto"/>
              <w:bottom w:val="single" w:sz="4" w:space="0" w:color="auto"/>
            </w:tcBorders>
            <w:noWrap/>
            <w:vAlign w:val="center"/>
            <w:hideMark/>
          </w:tcPr>
          <w:p w14:paraId="4E7C1167"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color w:val="000000"/>
              </w:rPr>
              <w:t>Vepřové výrobní bez kůže</w:t>
            </w:r>
          </w:p>
        </w:tc>
        <w:tc>
          <w:tcPr>
            <w:tcW w:w="1667" w:type="pct"/>
            <w:tcBorders>
              <w:top w:val="single" w:sz="4" w:space="0" w:color="auto"/>
              <w:bottom w:val="single" w:sz="4" w:space="0" w:color="auto"/>
            </w:tcBorders>
            <w:noWrap/>
            <w:vAlign w:val="center"/>
            <w:hideMark/>
          </w:tcPr>
          <w:p w14:paraId="08B48B17" w14:textId="77777777" w:rsidR="00A12FBC" w:rsidRPr="005257DB" w:rsidRDefault="00A12FBC" w:rsidP="00A75CED">
            <w:pPr>
              <w:spacing w:after="0"/>
              <w:jc w:val="center"/>
              <w:rPr>
                <w:rFonts w:ascii="Times New Roman" w:hAnsi="Times New Roman"/>
                <w:color w:val="000000"/>
              </w:rPr>
            </w:pPr>
            <w:r w:rsidRPr="005257DB">
              <w:rPr>
                <w:rFonts w:ascii="Times New Roman" w:hAnsi="Times New Roman"/>
                <w:color w:val="000000"/>
              </w:rPr>
              <w:t>54,20</w:t>
            </w:r>
          </w:p>
        </w:tc>
        <w:tc>
          <w:tcPr>
            <w:tcW w:w="1667" w:type="pct"/>
            <w:tcBorders>
              <w:top w:val="single" w:sz="4" w:space="0" w:color="auto"/>
              <w:bottom w:val="single" w:sz="4" w:space="0" w:color="auto"/>
            </w:tcBorders>
            <w:noWrap/>
            <w:vAlign w:val="center"/>
            <w:hideMark/>
          </w:tcPr>
          <w:p w14:paraId="1148AFB3" w14:textId="77777777" w:rsidR="00A12FBC" w:rsidRPr="005257DB" w:rsidRDefault="00A12FBC" w:rsidP="00A75CED">
            <w:pPr>
              <w:spacing w:after="0"/>
              <w:jc w:val="center"/>
              <w:rPr>
                <w:rFonts w:ascii="Times New Roman" w:hAnsi="Times New Roman"/>
                <w:color w:val="000000"/>
              </w:rPr>
            </w:pPr>
            <w:r w:rsidRPr="005257DB">
              <w:rPr>
                <w:rFonts w:ascii="Times New Roman" w:hAnsi="Times New Roman"/>
                <w:color w:val="000000"/>
              </w:rPr>
              <w:t>54,20</w:t>
            </w:r>
          </w:p>
        </w:tc>
      </w:tr>
      <w:tr w:rsidR="00A12FBC" w:rsidRPr="005257DB" w14:paraId="565ADFA1" w14:textId="77777777" w:rsidTr="00CF652F">
        <w:trPr>
          <w:trHeight w:val="283"/>
        </w:trPr>
        <w:tc>
          <w:tcPr>
            <w:tcW w:w="1667" w:type="pct"/>
            <w:tcBorders>
              <w:top w:val="single" w:sz="4" w:space="0" w:color="auto"/>
              <w:bottom w:val="single" w:sz="4" w:space="0" w:color="auto"/>
            </w:tcBorders>
            <w:noWrap/>
            <w:vAlign w:val="center"/>
            <w:hideMark/>
          </w:tcPr>
          <w:p w14:paraId="235C3343"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rPr>
              <w:t>Vepřové kůže</w:t>
            </w:r>
          </w:p>
        </w:tc>
        <w:tc>
          <w:tcPr>
            <w:tcW w:w="1667" w:type="pct"/>
            <w:tcBorders>
              <w:top w:val="single" w:sz="4" w:space="0" w:color="auto"/>
              <w:bottom w:val="single" w:sz="4" w:space="0" w:color="auto"/>
            </w:tcBorders>
            <w:vAlign w:val="center"/>
            <w:hideMark/>
          </w:tcPr>
          <w:p w14:paraId="2327492A" w14:textId="77777777" w:rsidR="00A12FBC" w:rsidRPr="005257DB" w:rsidRDefault="00A12FBC" w:rsidP="00A75CED">
            <w:pPr>
              <w:spacing w:after="0"/>
              <w:jc w:val="center"/>
              <w:rPr>
                <w:rFonts w:ascii="Times New Roman" w:hAnsi="Times New Roman"/>
                <w:color w:val="000000"/>
              </w:rPr>
            </w:pPr>
            <w:r w:rsidRPr="005257DB">
              <w:rPr>
                <w:rFonts w:ascii="Times New Roman" w:hAnsi="Times New Roman"/>
                <w:color w:val="000000"/>
              </w:rPr>
              <w:t>5,4</w:t>
            </w:r>
          </w:p>
        </w:tc>
        <w:tc>
          <w:tcPr>
            <w:tcW w:w="1667" w:type="pct"/>
            <w:tcBorders>
              <w:top w:val="single" w:sz="4" w:space="0" w:color="auto"/>
              <w:bottom w:val="single" w:sz="4" w:space="0" w:color="auto"/>
            </w:tcBorders>
            <w:vAlign w:val="center"/>
            <w:hideMark/>
          </w:tcPr>
          <w:p w14:paraId="352E9019" w14:textId="77777777" w:rsidR="00A12FBC" w:rsidRPr="005257DB" w:rsidRDefault="00A12FBC" w:rsidP="00A75CED">
            <w:pPr>
              <w:spacing w:after="0"/>
              <w:jc w:val="center"/>
              <w:rPr>
                <w:rFonts w:ascii="Times New Roman" w:hAnsi="Times New Roman"/>
                <w:color w:val="000000"/>
              </w:rPr>
            </w:pPr>
            <w:r w:rsidRPr="005257DB">
              <w:rPr>
                <w:rFonts w:ascii="Times New Roman" w:hAnsi="Times New Roman"/>
                <w:color w:val="000000"/>
              </w:rPr>
              <w:t>5,4</w:t>
            </w:r>
          </w:p>
        </w:tc>
      </w:tr>
      <w:tr w:rsidR="00A12FBC" w:rsidRPr="005257DB" w14:paraId="31DDF97C" w14:textId="77777777" w:rsidTr="00CF652F">
        <w:trPr>
          <w:trHeight w:val="283"/>
        </w:trPr>
        <w:tc>
          <w:tcPr>
            <w:tcW w:w="1667" w:type="pct"/>
            <w:tcBorders>
              <w:top w:val="single" w:sz="4" w:space="0" w:color="auto"/>
              <w:bottom w:val="single" w:sz="4" w:space="0" w:color="auto"/>
            </w:tcBorders>
            <w:noWrap/>
            <w:vAlign w:val="center"/>
            <w:hideMark/>
          </w:tcPr>
          <w:p w14:paraId="77420771"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rPr>
              <w:t>Sůl kamenná</w:t>
            </w:r>
          </w:p>
        </w:tc>
        <w:tc>
          <w:tcPr>
            <w:tcW w:w="1667" w:type="pct"/>
            <w:tcBorders>
              <w:top w:val="single" w:sz="4" w:space="0" w:color="auto"/>
              <w:bottom w:val="single" w:sz="4" w:space="0" w:color="auto"/>
            </w:tcBorders>
            <w:vAlign w:val="center"/>
            <w:hideMark/>
          </w:tcPr>
          <w:p w14:paraId="3B245FBB" w14:textId="77777777" w:rsidR="00A12FBC" w:rsidRPr="005257DB" w:rsidRDefault="00A12FBC" w:rsidP="00A75CED">
            <w:pPr>
              <w:spacing w:after="0"/>
              <w:jc w:val="center"/>
              <w:rPr>
                <w:rFonts w:ascii="Times New Roman" w:hAnsi="Times New Roman"/>
                <w:color w:val="000000"/>
              </w:rPr>
            </w:pPr>
            <w:r w:rsidRPr="005257DB">
              <w:rPr>
                <w:rFonts w:ascii="Times New Roman" w:hAnsi="Times New Roman"/>
                <w:color w:val="000000"/>
              </w:rPr>
              <w:t>1,8</w:t>
            </w:r>
          </w:p>
        </w:tc>
        <w:tc>
          <w:tcPr>
            <w:tcW w:w="1667" w:type="pct"/>
            <w:tcBorders>
              <w:top w:val="single" w:sz="4" w:space="0" w:color="auto"/>
              <w:bottom w:val="single" w:sz="4" w:space="0" w:color="auto"/>
            </w:tcBorders>
            <w:vAlign w:val="center"/>
            <w:hideMark/>
          </w:tcPr>
          <w:p w14:paraId="7D794F23" w14:textId="77777777" w:rsidR="00A12FBC" w:rsidRPr="005257DB" w:rsidRDefault="00A12FBC" w:rsidP="00A75CED">
            <w:pPr>
              <w:spacing w:after="0"/>
              <w:jc w:val="center"/>
              <w:rPr>
                <w:rFonts w:ascii="Times New Roman" w:hAnsi="Times New Roman"/>
                <w:color w:val="000000"/>
              </w:rPr>
            </w:pPr>
            <w:r w:rsidRPr="005257DB">
              <w:rPr>
                <w:rFonts w:ascii="Times New Roman" w:hAnsi="Times New Roman"/>
                <w:color w:val="000000"/>
              </w:rPr>
              <w:t>1,8</w:t>
            </w:r>
          </w:p>
        </w:tc>
      </w:tr>
      <w:tr w:rsidR="00A12FBC" w:rsidRPr="005257DB" w14:paraId="7B3154E5" w14:textId="77777777" w:rsidTr="00CF652F">
        <w:trPr>
          <w:trHeight w:val="283"/>
        </w:trPr>
        <w:tc>
          <w:tcPr>
            <w:tcW w:w="1667" w:type="pct"/>
            <w:tcBorders>
              <w:top w:val="single" w:sz="4" w:space="0" w:color="auto"/>
              <w:bottom w:val="single" w:sz="4" w:space="0" w:color="auto"/>
            </w:tcBorders>
            <w:noWrap/>
            <w:vAlign w:val="center"/>
            <w:hideMark/>
          </w:tcPr>
          <w:p w14:paraId="2BB8E8FC" w14:textId="77777777" w:rsidR="00A12FBC" w:rsidRPr="005257DB" w:rsidRDefault="00A12FBC" w:rsidP="00A75CED">
            <w:pPr>
              <w:spacing w:after="0"/>
              <w:rPr>
                <w:rFonts w:ascii="Times New Roman" w:hAnsi="Times New Roman"/>
                <w:b/>
                <w:bCs/>
              </w:rPr>
            </w:pPr>
            <w:r w:rsidRPr="005257DB">
              <w:rPr>
                <w:rFonts w:ascii="Times New Roman" w:hAnsi="Times New Roman"/>
                <w:b/>
                <w:bCs/>
              </w:rPr>
              <w:t>Pepř drcený</w:t>
            </w:r>
          </w:p>
        </w:tc>
        <w:tc>
          <w:tcPr>
            <w:tcW w:w="1667" w:type="pct"/>
            <w:tcBorders>
              <w:top w:val="single" w:sz="4" w:space="0" w:color="auto"/>
              <w:bottom w:val="single" w:sz="4" w:space="0" w:color="auto"/>
            </w:tcBorders>
            <w:noWrap/>
            <w:vAlign w:val="center"/>
            <w:hideMark/>
          </w:tcPr>
          <w:p w14:paraId="6FCEC457"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0,1</w:t>
            </w:r>
          </w:p>
        </w:tc>
        <w:tc>
          <w:tcPr>
            <w:tcW w:w="1667" w:type="pct"/>
            <w:tcBorders>
              <w:top w:val="single" w:sz="4" w:space="0" w:color="auto"/>
              <w:bottom w:val="single" w:sz="4" w:space="0" w:color="auto"/>
            </w:tcBorders>
            <w:noWrap/>
            <w:vAlign w:val="center"/>
            <w:hideMark/>
          </w:tcPr>
          <w:p w14:paraId="6A4F31AB"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0,1</w:t>
            </w:r>
          </w:p>
        </w:tc>
      </w:tr>
      <w:tr w:rsidR="00A12FBC" w:rsidRPr="005257DB" w14:paraId="41B8B22B" w14:textId="77777777" w:rsidTr="00CF652F">
        <w:trPr>
          <w:trHeight w:val="283"/>
        </w:trPr>
        <w:tc>
          <w:tcPr>
            <w:tcW w:w="1667" w:type="pct"/>
            <w:tcBorders>
              <w:top w:val="single" w:sz="4" w:space="0" w:color="auto"/>
              <w:bottom w:val="single" w:sz="12" w:space="0" w:color="808080" w:themeColor="background1" w:themeShade="80"/>
            </w:tcBorders>
            <w:noWrap/>
            <w:vAlign w:val="center"/>
            <w:hideMark/>
          </w:tcPr>
          <w:p w14:paraId="2E92C4FC" w14:textId="77777777" w:rsidR="00A12FBC" w:rsidRPr="005257DB" w:rsidRDefault="00A12FBC" w:rsidP="00A75CED">
            <w:pPr>
              <w:spacing w:after="0"/>
              <w:rPr>
                <w:rFonts w:ascii="Times New Roman" w:hAnsi="Times New Roman"/>
                <w:b/>
                <w:bCs/>
              </w:rPr>
            </w:pPr>
            <w:r w:rsidRPr="005257DB">
              <w:rPr>
                <w:rFonts w:ascii="Times New Roman" w:hAnsi="Times New Roman"/>
                <w:b/>
                <w:bCs/>
              </w:rPr>
              <w:t>Kmín drcený</w:t>
            </w:r>
          </w:p>
        </w:tc>
        <w:tc>
          <w:tcPr>
            <w:tcW w:w="1667" w:type="pct"/>
            <w:tcBorders>
              <w:top w:val="single" w:sz="4" w:space="0" w:color="auto"/>
              <w:bottom w:val="single" w:sz="12" w:space="0" w:color="808080" w:themeColor="background1" w:themeShade="80"/>
            </w:tcBorders>
            <w:noWrap/>
            <w:vAlign w:val="center"/>
            <w:hideMark/>
          </w:tcPr>
          <w:p w14:paraId="4F9BD1AF"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0,3</w:t>
            </w:r>
          </w:p>
        </w:tc>
        <w:tc>
          <w:tcPr>
            <w:tcW w:w="1667" w:type="pct"/>
            <w:tcBorders>
              <w:top w:val="single" w:sz="4" w:space="0" w:color="auto"/>
              <w:bottom w:val="single" w:sz="12" w:space="0" w:color="808080" w:themeColor="background1" w:themeShade="80"/>
            </w:tcBorders>
            <w:noWrap/>
            <w:vAlign w:val="center"/>
            <w:hideMark/>
          </w:tcPr>
          <w:p w14:paraId="27C8141F"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0,2</w:t>
            </w:r>
          </w:p>
        </w:tc>
      </w:tr>
    </w:tbl>
    <w:p w14:paraId="6597EB58" w14:textId="77777777" w:rsidR="00A12FBC" w:rsidRDefault="00A12FBC" w:rsidP="00A12FBC">
      <w:pPr>
        <w:spacing w:before="240" w:after="0" w:line="360" w:lineRule="auto"/>
        <w:jc w:val="both"/>
        <w:rPr>
          <w:rFonts w:ascii="Times New Roman" w:hAnsi="Times New Roman"/>
          <w:b/>
          <w:bCs/>
          <w:sz w:val="24"/>
          <w:szCs w:val="24"/>
        </w:rPr>
      </w:pPr>
      <w:r>
        <w:rPr>
          <w:rFonts w:ascii="Times New Roman" w:hAnsi="Times New Roman"/>
          <w:b/>
          <w:bCs/>
          <w:sz w:val="24"/>
          <w:szCs w:val="24"/>
        </w:rPr>
        <w:t>Chemické složení</w:t>
      </w:r>
    </w:p>
    <w:p w14:paraId="102C7300" w14:textId="77777777" w:rsidR="00A12FBC" w:rsidRDefault="00A12FBC" w:rsidP="00A12FBC">
      <w:pPr>
        <w:spacing w:after="120" w:line="360" w:lineRule="auto"/>
        <w:jc w:val="both"/>
        <w:rPr>
          <w:rFonts w:ascii="Times New Roman" w:hAnsi="Times New Roman"/>
          <w:sz w:val="24"/>
          <w:szCs w:val="24"/>
        </w:rPr>
      </w:pPr>
      <w:r>
        <w:rPr>
          <w:rFonts w:ascii="Times New Roman" w:hAnsi="Times New Roman"/>
          <w:sz w:val="24"/>
          <w:szCs w:val="24"/>
        </w:rPr>
        <w:t xml:space="preserve">U výrobků byl analyzován obsah bílkovin, tuku, sušiny a soli </w:t>
      </w:r>
      <w:r>
        <w:rPr>
          <w:rFonts w:ascii="Times New Roman" w:hAnsi="Times New Roman"/>
          <w:color w:val="000000" w:themeColor="text1"/>
        </w:rPr>
        <w:t>(g·100 g</w:t>
      </w:r>
      <w:r>
        <w:rPr>
          <w:rFonts w:ascii="Times New Roman" w:hAnsi="Times New Roman"/>
          <w:color w:val="000000" w:themeColor="text1"/>
          <w:vertAlign w:val="superscript"/>
        </w:rPr>
        <w:t>-1</w:t>
      </w:r>
      <w:r>
        <w:rPr>
          <w:rFonts w:ascii="Times New Roman" w:hAnsi="Times New Roman"/>
          <w:color w:val="000000" w:themeColor="text1"/>
        </w:rPr>
        <w:t xml:space="preserve">). </w:t>
      </w:r>
      <w:r>
        <w:rPr>
          <w:rFonts w:ascii="Times New Roman" w:hAnsi="Times New Roman"/>
          <w:sz w:val="24"/>
          <w:szCs w:val="24"/>
        </w:rPr>
        <w:t>Každý vzorek byl homogenizován (250 g) a analyzován třikrát. Pro stanovení celkového množství bílkovin byla použita Kjeldahlova metoda, celkový obsah tuku byl analyzován Soxhletovou extrakcí, obsah sušiny byl stanoven gravimetricky a množství soli metodou dle Mohra.</w:t>
      </w:r>
    </w:p>
    <w:p w14:paraId="14448D49" w14:textId="77777777" w:rsidR="00A12FBC" w:rsidRDefault="00A12FBC" w:rsidP="00A12FBC">
      <w:pPr>
        <w:spacing w:after="0" w:line="360" w:lineRule="auto"/>
        <w:jc w:val="both"/>
        <w:rPr>
          <w:rFonts w:ascii="Times New Roman" w:hAnsi="Times New Roman"/>
          <w:b/>
          <w:bCs/>
          <w:sz w:val="24"/>
        </w:rPr>
      </w:pPr>
      <w:r>
        <w:rPr>
          <w:rFonts w:ascii="Times New Roman" w:hAnsi="Times New Roman"/>
          <w:b/>
          <w:bCs/>
          <w:sz w:val="24"/>
        </w:rPr>
        <w:t>Barva</w:t>
      </w:r>
    </w:p>
    <w:p w14:paraId="24ECEB89" w14:textId="77777777" w:rsidR="00A12FBC" w:rsidRDefault="00A12FBC" w:rsidP="00A12FBC">
      <w:pPr>
        <w:spacing w:after="120" w:line="360" w:lineRule="auto"/>
        <w:jc w:val="both"/>
        <w:rPr>
          <w:rFonts w:ascii="Times New Roman" w:hAnsi="Times New Roman"/>
          <w:sz w:val="24"/>
          <w:szCs w:val="24"/>
        </w:rPr>
      </w:pPr>
      <w:r>
        <w:rPr>
          <w:rFonts w:ascii="Times New Roman" w:hAnsi="Times New Roman"/>
          <w:sz w:val="24"/>
          <w:szCs w:val="24"/>
        </w:rPr>
        <w:t>Barevný prostor L*, a* a b* byl stanoven pomocí spektrofotometru CM 3500d (Konica Minolta, Japonsko). Vzorky byly měřeny (D 65, 6500 °K) na čerstvém řezu přes střed výrobku v režimu SCE (Specular Component Excluded) a 8 mm štěrbinou ve třech opakováních.</w:t>
      </w:r>
    </w:p>
    <w:p w14:paraId="30149B38" w14:textId="77777777" w:rsidR="00A12FBC" w:rsidRDefault="00A12FBC" w:rsidP="00A12FBC">
      <w:pPr>
        <w:spacing w:after="0" w:line="360" w:lineRule="auto"/>
        <w:jc w:val="both"/>
        <w:rPr>
          <w:rFonts w:ascii="Times New Roman" w:hAnsi="Times New Roman"/>
          <w:b/>
          <w:bCs/>
          <w:sz w:val="24"/>
        </w:rPr>
      </w:pPr>
      <w:r>
        <w:rPr>
          <w:rFonts w:ascii="Times New Roman" w:hAnsi="Times New Roman"/>
          <w:b/>
          <w:bCs/>
          <w:sz w:val="24"/>
        </w:rPr>
        <w:t>Senzorická analýza</w:t>
      </w:r>
    </w:p>
    <w:p w14:paraId="219392E1"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 xml:space="preserve">Senzorická analýza byla provedena v senzorické laboratoři Mendelovy univerzity v Brně, která splňuje normy ISO 8589. Vzorky byly předloženy v uzavřeném stavu na bílých deskách temperované na pokojovou teplotu (20 °C) a označeny náhodně vygenerovanými tříčíselnými kódy. Hodnotitelé otevřeli vzorek, odebrali celý obsah nádoby a přikročili k hodnocení. Jako neutralizátor sloužil chléb a čistá voda. Vzorky hodnotila skupina deseti vyškolených hodnotitelů v souladu s normou ISO 8586-1 (Mezinárodní organizace pro normalizaci, ISO, 1993). Pro všechny deskriptory byla použita nestrukturovaná 100 mm stupnice s kotevními body na obou koncích. Hédonicky byly hodnoceny tyto vlastnosti: celkový vzhled, vůně, barva, žvýkatelnost, tvrdost, šťavnatost, chuť a celkový dojem z výrobku (0 bodů za nevyhovující vzorek, 100 bodů za vynikající vzorek). </w:t>
      </w:r>
    </w:p>
    <w:p w14:paraId="35768BEB" w14:textId="77777777" w:rsidR="00A12FBC" w:rsidRDefault="00A12FBC" w:rsidP="00A12FBC">
      <w:pPr>
        <w:spacing w:after="0" w:line="360" w:lineRule="auto"/>
        <w:jc w:val="both"/>
        <w:rPr>
          <w:rFonts w:ascii="Times New Roman" w:hAnsi="Times New Roman"/>
          <w:b/>
          <w:bCs/>
          <w:sz w:val="24"/>
        </w:rPr>
      </w:pPr>
      <w:r>
        <w:rPr>
          <w:rFonts w:ascii="Times New Roman" w:hAnsi="Times New Roman"/>
          <w:b/>
          <w:bCs/>
          <w:sz w:val="24"/>
        </w:rPr>
        <w:t>Statistické zpracování</w:t>
      </w:r>
    </w:p>
    <w:p w14:paraId="1FE28978"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szCs w:val="24"/>
        </w:rPr>
        <w:t xml:space="preserve">Data byla statisticky vyhodnocena v programu STATISTICA 14 (StatSoft, Praha, Česká republika). Normální rozdělení dat bylo ověřeno Sharpio-Wilkovým testem. Byla aplikována analýza rozptylu (jednofaktorová ANOVA) a pro srovnání skupin vzorků byl použit Tukeyho HSD test. Rozdíly byly považovány za významné na hladině spolehlivosti 95 % (p ˂ 0,05). </w:t>
      </w:r>
    </w:p>
    <w:p w14:paraId="50C084ED" w14:textId="77777777" w:rsidR="00A12FBC" w:rsidRPr="00867CB2" w:rsidRDefault="00A12FBC" w:rsidP="00A75CED">
      <w:pPr>
        <w:spacing w:after="0" w:line="360" w:lineRule="auto"/>
        <w:jc w:val="both"/>
        <w:rPr>
          <w:rFonts w:ascii="Times New Roman" w:hAnsi="Times New Roman"/>
          <w:b/>
          <w:bCs/>
          <w:sz w:val="24"/>
        </w:rPr>
      </w:pPr>
      <w:r w:rsidRPr="006E0626">
        <w:rPr>
          <w:rFonts w:ascii="Times New Roman" w:hAnsi="Times New Roman"/>
          <w:b/>
          <w:sz w:val="24"/>
          <w:szCs w:val="24"/>
        </w:rPr>
        <w:t>VÝSLEDKY A DISKU</w:t>
      </w:r>
      <w:r>
        <w:rPr>
          <w:rFonts w:ascii="Times New Roman" w:hAnsi="Times New Roman"/>
          <w:b/>
          <w:sz w:val="24"/>
          <w:szCs w:val="24"/>
        </w:rPr>
        <w:t>ZE</w:t>
      </w:r>
      <w:r w:rsidRPr="00DC7141">
        <w:rPr>
          <w:rFonts w:ascii="Times New Roman" w:hAnsi="Times New Roman"/>
          <w:b/>
          <w:bCs/>
          <w:sz w:val="24"/>
        </w:rPr>
        <w:t xml:space="preserve"> </w:t>
      </w:r>
      <w:r w:rsidRPr="00867CB2">
        <w:rPr>
          <w:rFonts w:ascii="Times New Roman" w:hAnsi="Times New Roman"/>
          <w:b/>
          <w:bCs/>
          <w:sz w:val="24"/>
        </w:rPr>
        <w:t>/</w:t>
      </w:r>
      <w:r>
        <w:t xml:space="preserve"> </w:t>
      </w:r>
      <w:r w:rsidRPr="0042102F">
        <w:rPr>
          <w:rFonts w:ascii="Times New Roman" w:hAnsi="Times New Roman"/>
          <w:b/>
          <w:bCs/>
          <w:sz w:val="24"/>
        </w:rPr>
        <w:t>RESULTS AND DISCUSSION</w:t>
      </w:r>
    </w:p>
    <w:p w14:paraId="04B86B1E" w14:textId="77777777" w:rsidR="00A12FBC" w:rsidRDefault="00A12FBC" w:rsidP="00A12FBC">
      <w:pPr>
        <w:spacing w:after="120" w:line="360" w:lineRule="auto"/>
        <w:jc w:val="both"/>
        <w:rPr>
          <w:rFonts w:ascii="Times New Roman" w:hAnsi="Times New Roman"/>
          <w:sz w:val="24"/>
          <w:szCs w:val="24"/>
        </w:rPr>
      </w:pPr>
      <w:r>
        <w:rPr>
          <w:rFonts w:ascii="Times New Roman" w:hAnsi="Times New Roman"/>
          <w:sz w:val="24"/>
          <w:szCs w:val="24"/>
        </w:rPr>
        <w:t xml:space="preserve">Složení polokonzerv je prezentováno v Tabulce 2. Vyšší průměrné množství bílkovin bylo zaznamenáno </w:t>
      </w:r>
      <w:r>
        <w:rPr>
          <w:rFonts w:ascii="Times New Roman" w:hAnsi="Times New Roman"/>
          <w:sz w:val="24"/>
          <w:szCs w:val="24"/>
        </w:rPr>
        <w:br/>
        <w:t xml:space="preserve">ve výrobku s bobřím masem (p ˂ 0,05). Bobří libové maso obsahuje více bílkovin, než maso hovězí </w:t>
      </w:r>
      <w:r>
        <w:rPr>
          <w:rFonts w:ascii="Times New Roman" w:hAnsi="Times New Roman"/>
          <w:sz w:val="24"/>
          <w:szCs w:val="24"/>
        </w:rPr>
        <w:br/>
        <w:t xml:space="preserve">(Baik et al., 2023; Florek et al., 2017). Rozdíl ve složení výrobků může být tedy do jisté míry ovlivněn složením použitých surovin. Vzorky prokazují také rozdíly v obsahu tuku (p ˂ 0,05). Variaci v obsahu tuku </w:t>
      </w:r>
      <w:r>
        <w:rPr>
          <w:rFonts w:ascii="Times New Roman" w:hAnsi="Times New Roman"/>
          <w:sz w:val="24"/>
          <w:szCs w:val="24"/>
        </w:rPr>
        <w:lastRenderedPageBreak/>
        <w:t xml:space="preserve">mezi vzorky lze však spíše připisovat rozdílům v obsahu tuku ve vepřovém výrobním mase, které bylo použito při výrobě jednotlivých polokonzerv. Tento typ masného výrobku nemá v celém svém objemu homogenní strukturu a velmi záleží na promíchání masného díla před samotným plněním do technologických obalů. </w:t>
      </w:r>
    </w:p>
    <w:p w14:paraId="31F20A68" w14:textId="77777777" w:rsidR="00A12FBC" w:rsidRPr="005257DB" w:rsidRDefault="00A12FBC" w:rsidP="00A12FBC">
      <w:pPr>
        <w:pStyle w:val="Titulek"/>
        <w:keepNext/>
        <w:spacing w:after="60"/>
        <w:rPr>
          <w:rFonts w:ascii="Times New Roman" w:hAnsi="Times New Roman"/>
          <w:i w:val="0"/>
          <w:iCs w:val="0"/>
          <w:color w:val="000000" w:themeColor="text1"/>
          <w:sz w:val="22"/>
          <w:szCs w:val="22"/>
        </w:rPr>
      </w:pPr>
      <w:r w:rsidRPr="005257DB">
        <w:rPr>
          <w:rFonts w:ascii="Times New Roman" w:hAnsi="Times New Roman"/>
          <w:b/>
          <w:bCs/>
          <w:i w:val="0"/>
          <w:iCs w:val="0"/>
          <w:color w:val="000000" w:themeColor="text1"/>
          <w:sz w:val="22"/>
          <w:szCs w:val="22"/>
        </w:rPr>
        <w:t xml:space="preserve">Tabulka </w:t>
      </w:r>
      <w:r w:rsidRPr="005257DB">
        <w:rPr>
          <w:rFonts w:ascii="Times New Roman" w:hAnsi="Times New Roman"/>
          <w:b/>
          <w:bCs/>
          <w:i w:val="0"/>
          <w:iCs w:val="0"/>
          <w:color w:val="000000" w:themeColor="text1"/>
          <w:sz w:val="22"/>
          <w:szCs w:val="22"/>
        </w:rPr>
        <w:fldChar w:fldCharType="begin"/>
      </w:r>
      <w:r w:rsidRPr="005257DB">
        <w:rPr>
          <w:rFonts w:ascii="Times New Roman" w:hAnsi="Times New Roman"/>
          <w:b/>
          <w:bCs/>
          <w:i w:val="0"/>
          <w:iCs w:val="0"/>
          <w:color w:val="000000" w:themeColor="text1"/>
          <w:sz w:val="22"/>
          <w:szCs w:val="22"/>
        </w:rPr>
        <w:instrText xml:space="preserve"> SEQ Tabulka \* ARABIC </w:instrText>
      </w:r>
      <w:r w:rsidRPr="005257DB">
        <w:rPr>
          <w:rFonts w:ascii="Times New Roman" w:hAnsi="Times New Roman"/>
          <w:b/>
          <w:bCs/>
          <w:i w:val="0"/>
          <w:iCs w:val="0"/>
          <w:color w:val="000000" w:themeColor="text1"/>
          <w:sz w:val="22"/>
          <w:szCs w:val="22"/>
        </w:rPr>
        <w:fldChar w:fldCharType="separate"/>
      </w:r>
      <w:r>
        <w:rPr>
          <w:rFonts w:ascii="Times New Roman" w:hAnsi="Times New Roman"/>
          <w:b/>
          <w:bCs/>
          <w:i w:val="0"/>
          <w:iCs w:val="0"/>
          <w:noProof/>
          <w:color w:val="000000" w:themeColor="text1"/>
          <w:sz w:val="22"/>
          <w:szCs w:val="22"/>
        </w:rPr>
        <w:t>2</w:t>
      </w:r>
      <w:r w:rsidRPr="005257DB">
        <w:rPr>
          <w:rFonts w:ascii="Times New Roman" w:hAnsi="Times New Roman"/>
          <w:b/>
          <w:bCs/>
          <w:i w:val="0"/>
          <w:iCs w:val="0"/>
          <w:color w:val="000000" w:themeColor="text1"/>
          <w:sz w:val="22"/>
          <w:szCs w:val="22"/>
        </w:rPr>
        <w:fldChar w:fldCharType="end"/>
      </w:r>
      <w:r w:rsidRPr="005257DB">
        <w:rPr>
          <w:rFonts w:ascii="Times New Roman" w:hAnsi="Times New Roman"/>
          <w:b/>
          <w:bCs/>
          <w:i w:val="0"/>
          <w:iCs w:val="0"/>
          <w:color w:val="000000" w:themeColor="text1"/>
          <w:sz w:val="22"/>
          <w:szCs w:val="22"/>
        </w:rPr>
        <w:t>:</w:t>
      </w:r>
      <w:r w:rsidRPr="005257DB">
        <w:rPr>
          <w:rFonts w:ascii="Times New Roman" w:hAnsi="Times New Roman"/>
          <w:i w:val="0"/>
          <w:iCs w:val="0"/>
          <w:color w:val="000000" w:themeColor="text1"/>
          <w:sz w:val="22"/>
          <w:szCs w:val="22"/>
        </w:rPr>
        <w:t xml:space="preserve"> Chemické složeni polokonzerv</w:t>
      </w:r>
      <w:r w:rsidRPr="005257DB">
        <w:rPr>
          <w:rFonts w:ascii="Times New Roman" w:hAnsi="Times New Roman"/>
          <w:color w:val="000000" w:themeColor="text1"/>
          <w:sz w:val="22"/>
          <w:szCs w:val="22"/>
        </w:rPr>
        <w:t xml:space="preserve"> </w:t>
      </w:r>
      <w:r w:rsidRPr="005257DB">
        <w:rPr>
          <w:rFonts w:ascii="Times New Roman" w:hAnsi="Times New Roman"/>
          <w:i w:val="0"/>
          <w:iCs w:val="0"/>
          <w:color w:val="000000" w:themeColor="text1"/>
          <w:sz w:val="22"/>
          <w:szCs w:val="22"/>
        </w:rPr>
        <w:t>(g·100 g</w:t>
      </w:r>
      <w:r w:rsidRPr="005257DB">
        <w:rPr>
          <w:rFonts w:ascii="Times New Roman" w:hAnsi="Times New Roman"/>
          <w:i w:val="0"/>
          <w:iCs w:val="0"/>
          <w:color w:val="000000" w:themeColor="text1"/>
          <w:sz w:val="22"/>
          <w:szCs w:val="22"/>
          <w:vertAlign w:val="superscript"/>
        </w:rPr>
        <w:t>-1</w:t>
      </w:r>
      <w:r w:rsidRPr="005257DB">
        <w:rPr>
          <w:rFonts w:ascii="Times New Roman" w:hAnsi="Times New Roman"/>
          <w:i w:val="0"/>
          <w:iCs w:val="0"/>
          <w:color w:val="000000" w:themeColor="text1"/>
          <w:sz w:val="22"/>
          <w:szCs w:val="22"/>
        </w:rPr>
        <w:t>)</w:t>
      </w:r>
    </w:p>
    <w:tbl>
      <w:tblPr>
        <w:tblStyle w:val="Styl1"/>
        <w:tblW w:w="5000" w:type="pct"/>
        <w:tblLook w:val="04A0" w:firstRow="1" w:lastRow="0" w:firstColumn="1" w:lastColumn="0" w:noHBand="0" w:noVBand="1"/>
      </w:tblPr>
      <w:tblGrid>
        <w:gridCol w:w="3447"/>
        <w:gridCol w:w="3448"/>
        <w:gridCol w:w="3571"/>
      </w:tblGrid>
      <w:tr w:rsidR="00A12FBC" w:rsidRPr="005257DB" w14:paraId="0AEAEC42" w14:textId="77777777" w:rsidTr="00CF652F">
        <w:trPr>
          <w:cnfStyle w:val="100000000000" w:firstRow="1" w:lastRow="0" w:firstColumn="0" w:lastColumn="0" w:oddVBand="0" w:evenVBand="0" w:oddHBand="0" w:evenHBand="0" w:firstRowFirstColumn="0" w:firstRowLastColumn="0" w:lastRowFirstColumn="0" w:lastRowLastColumn="0"/>
          <w:trHeight w:val="283"/>
        </w:trPr>
        <w:tc>
          <w:tcPr>
            <w:tcW w:w="1647" w:type="pct"/>
            <w:noWrap/>
            <w:vAlign w:val="center"/>
            <w:hideMark/>
          </w:tcPr>
          <w:p w14:paraId="2D860D93" w14:textId="77777777" w:rsidR="00A12FBC" w:rsidRPr="005257DB" w:rsidRDefault="00A12FBC" w:rsidP="00CF652F">
            <w:pPr>
              <w:rPr>
                <w:rFonts w:ascii="Times New Roman" w:hAnsi="Times New Roman"/>
                <w:i/>
                <w:iCs/>
                <w:color w:val="000000" w:themeColor="text1"/>
              </w:rPr>
            </w:pPr>
          </w:p>
        </w:tc>
        <w:tc>
          <w:tcPr>
            <w:tcW w:w="1647" w:type="pct"/>
            <w:vAlign w:val="center"/>
            <w:hideMark/>
          </w:tcPr>
          <w:p w14:paraId="0AC3996C" w14:textId="77777777" w:rsidR="00A12FBC" w:rsidRPr="005257DB" w:rsidRDefault="00A12FBC" w:rsidP="00A75CED">
            <w:pPr>
              <w:spacing w:after="0"/>
              <w:jc w:val="center"/>
              <w:rPr>
                <w:rFonts w:ascii="Times New Roman" w:hAnsi="Times New Roman"/>
                <w:b/>
                <w:bCs/>
                <w:color w:val="000000"/>
              </w:rPr>
            </w:pPr>
            <w:r w:rsidRPr="005257DB">
              <w:rPr>
                <w:rFonts w:ascii="Times New Roman" w:hAnsi="Times New Roman"/>
                <w:b/>
                <w:bCs/>
                <w:color w:val="000000" w:themeColor="text1"/>
              </w:rPr>
              <w:t>Polokonzerva s hovězím masem</w:t>
            </w:r>
          </w:p>
          <w:p w14:paraId="0CE16F9F" w14:textId="77777777" w:rsidR="00A12FBC" w:rsidRPr="005257DB" w:rsidRDefault="00A12FBC" w:rsidP="00A75CED">
            <w:pPr>
              <w:spacing w:after="0"/>
              <w:jc w:val="center"/>
              <w:rPr>
                <w:rFonts w:ascii="Times New Roman" w:hAnsi="Times New Roman"/>
                <w:b/>
                <w:bCs/>
                <w:color w:val="000000"/>
              </w:rPr>
            </w:pPr>
            <w:r w:rsidRPr="005257DB">
              <w:rPr>
                <w:rFonts w:ascii="Times New Roman" w:hAnsi="Times New Roman"/>
                <w:b/>
                <w:bCs/>
                <w:color w:val="000000"/>
              </w:rPr>
              <w:t>(x̄ ± SD)</w:t>
            </w:r>
          </w:p>
        </w:tc>
        <w:tc>
          <w:tcPr>
            <w:tcW w:w="1706" w:type="pct"/>
            <w:vAlign w:val="center"/>
            <w:hideMark/>
          </w:tcPr>
          <w:p w14:paraId="3F83E0C2" w14:textId="77777777" w:rsidR="00A12FBC" w:rsidRPr="005257DB" w:rsidRDefault="00A12FBC" w:rsidP="00A75CED">
            <w:pPr>
              <w:spacing w:after="0"/>
              <w:jc w:val="center"/>
              <w:rPr>
                <w:rFonts w:ascii="Times New Roman" w:hAnsi="Times New Roman"/>
                <w:b/>
                <w:bCs/>
                <w:color w:val="000000"/>
              </w:rPr>
            </w:pPr>
            <w:r w:rsidRPr="005257DB">
              <w:rPr>
                <w:rFonts w:ascii="Times New Roman" w:hAnsi="Times New Roman"/>
                <w:b/>
                <w:bCs/>
                <w:color w:val="000000"/>
              </w:rPr>
              <w:t>Polokonzerva s bobřím masem</w:t>
            </w:r>
          </w:p>
          <w:p w14:paraId="41523C95" w14:textId="77777777" w:rsidR="00A12FBC" w:rsidRPr="005257DB" w:rsidRDefault="00A12FBC" w:rsidP="00A75CED">
            <w:pPr>
              <w:spacing w:after="0"/>
              <w:jc w:val="center"/>
              <w:rPr>
                <w:rFonts w:ascii="Times New Roman" w:hAnsi="Times New Roman"/>
                <w:b/>
                <w:bCs/>
                <w:color w:val="000000"/>
              </w:rPr>
            </w:pPr>
            <w:r w:rsidRPr="005257DB">
              <w:rPr>
                <w:rFonts w:ascii="Times New Roman" w:hAnsi="Times New Roman"/>
                <w:b/>
                <w:bCs/>
                <w:color w:val="000000"/>
              </w:rPr>
              <w:t>(x̄ ± SD)</w:t>
            </w:r>
          </w:p>
        </w:tc>
      </w:tr>
      <w:tr w:rsidR="00A12FBC" w:rsidRPr="005257DB" w14:paraId="52C8F562" w14:textId="77777777" w:rsidTr="00CF652F">
        <w:trPr>
          <w:trHeight w:val="283"/>
        </w:trPr>
        <w:tc>
          <w:tcPr>
            <w:tcW w:w="1647" w:type="pct"/>
            <w:tcBorders>
              <w:top w:val="single" w:sz="12" w:space="0" w:color="808080" w:themeColor="background1" w:themeShade="80"/>
              <w:bottom w:val="single" w:sz="4" w:space="0" w:color="auto"/>
            </w:tcBorders>
            <w:noWrap/>
            <w:vAlign w:val="center"/>
            <w:hideMark/>
          </w:tcPr>
          <w:p w14:paraId="7176686E"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color w:val="000000"/>
              </w:rPr>
              <w:t>Bílkoviny</w:t>
            </w:r>
          </w:p>
        </w:tc>
        <w:tc>
          <w:tcPr>
            <w:tcW w:w="1647" w:type="pct"/>
            <w:tcBorders>
              <w:top w:val="single" w:sz="12" w:space="0" w:color="808080" w:themeColor="background1" w:themeShade="80"/>
              <w:bottom w:val="single" w:sz="4" w:space="0" w:color="auto"/>
            </w:tcBorders>
            <w:noWrap/>
            <w:vAlign w:val="center"/>
            <w:hideMark/>
          </w:tcPr>
          <w:p w14:paraId="66913699"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14,98 ± 1,32</w:t>
            </w:r>
            <w:r w:rsidRPr="005257DB">
              <w:rPr>
                <w:rFonts w:ascii="Times New Roman" w:hAnsi="Times New Roman"/>
                <w:color w:val="000000"/>
                <w:vertAlign w:val="superscript"/>
              </w:rPr>
              <w:t>a</w:t>
            </w:r>
          </w:p>
        </w:tc>
        <w:tc>
          <w:tcPr>
            <w:tcW w:w="1706" w:type="pct"/>
            <w:tcBorders>
              <w:top w:val="single" w:sz="12" w:space="0" w:color="808080" w:themeColor="background1" w:themeShade="80"/>
              <w:bottom w:val="single" w:sz="4" w:space="0" w:color="auto"/>
            </w:tcBorders>
            <w:noWrap/>
            <w:vAlign w:val="center"/>
            <w:hideMark/>
          </w:tcPr>
          <w:p w14:paraId="6BE8887C"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16,56 ± 2,95</w:t>
            </w:r>
            <w:r w:rsidRPr="005257DB">
              <w:rPr>
                <w:rFonts w:ascii="Times New Roman" w:hAnsi="Times New Roman"/>
                <w:color w:val="000000"/>
                <w:vertAlign w:val="superscript"/>
              </w:rPr>
              <w:t>b</w:t>
            </w:r>
          </w:p>
        </w:tc>
      </w:tr>
      <w:tr w:rsidR="00A12FBC" w:rsidRPr="005257DB" w14:paraId="2AF0319D" w14:textId="77777777" w:rsidTr="00CF652F">
        <w:trPr>
          <w:trHeight w:val="283"/>
        </w:trPr>
        <w:tc>
          <w:tcPr>
            <w:tcW w:w="1647" w:type="pct"/>
            <w:tcBorders>
              <w:top w:val="single" w:sz="4" w:space="0" w:color="auto"/>
              <w:bottom w:val="single" w:sz="4" w:space="0" w:color="auto"/>
            </w:tcBorders>
            <w:noWrap/>
            <w:vAlign w:val="center"/>
            <w:hideMark/>
          </w:tcPr>
          <w:p w14:paraId="027A7FA8"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color w:val="000000"/>
              </w:rPr>
              <w:t>Tuk</w:t>
            </w:r>
          </w:p>
        </w:tc>
        <w:tc>
          <w:tcPr>
            <w:tcW w:w="1647" w:type="pct"/>
            <w:tcBorders>
              <w:top w:val="single" w:sz="4" w:space="0" w:color="auto"/>
              <w:bottom w:val="single" w:sz="4" w:space="0" w:color="auto"/>
            </w:tcBorders>
            <w:vAlign w:val="center"/>
            <w:hideMark/>
          </w:tcPr>
          <w:p w14:paraId="307FF559"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26,77 ± 2,43</w:t>
            </w:r>
            <w:r w:rsidRPr="005257DB">
              <w:rPr>
                <w:rFonts w:ascii="Times New Roman" w:hAnsi="Times New Roman"/>
                <w:color w:val="000000"/>
                <w:vertAlign w:val="superscript"/>
              </w:rPr>
              <w:t>a</w:t>
            </w:r>
          </w:p>
        </w:tc>
        <w:tc>
          <w:tcPr>
            <w:tcW w:w="1706" w:type="pct"/>
            <w:tcBorders>
              <w:top w:val="single" w:sz="4" w:space="0" w:color="auto"/>
              <w:bottom w:val="single" w:sz="4" w:space="0" w:color="auto"/>
            </w:tcBorders>
            <w:vAlign w:val="center"/>
            <w:hideMark/>
          </w:tcPr>
          <w:p w14:paraId="37F41C58"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23,09 ± 3,12</w:t>
            </w:r>
            <w:r w:rsidRPr="005257DB">
              <w:rPr>
                <w:rFonts w:ascii="Times New Roman" w:hAnsi="Times New Roman"/>
                <w:color w:val="000000"/>
                <w:vertAlign w:val="superscript"/>
              </w:rPr>
              <w:t>b</w:t>
            </w:r>
          </w:p>
        </w:tc>
      </w:tr>
      <w:tr w:rsidR="00A12FBC" w:rsidRPr="005257DB" w14:paraId="6A476907" w14:textId="77777777" w:rsidTr="00CF652F">
        <w:trPr>
          <w:trHeight w:val="283"/>
        </w:trPr>
        <w:tc>
          <w:tcPr>
            <w:tcW w:w="1647" w:type="pct"/>
            <w:tcBorders>
              <w:top w:val="single" w:sz="4" w:space="0" w:color="auto"/>
              <w:bottom w:val="single" w:sz="4" w:space="0" w:color="auto"/>
            </w:tcBorders>
            <w:noWrap/>
            <w:vAlign w:val="center"/>
            <w:hideMark/>
          </w:tcPr>
          <w:p w14:paraId="5BAC1F1D"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color w:val="000000"/>
              </w:rPr>
              <w:t>Sušina</w:t>
            </w:r>
          </w:p>
        </w:tc>
        <w:tc>
          <w:tcPr>
            <w:tcW w:w="1647" w:type="pct"/>
            <w:tcBorders>
              <w:top w:val="single" w:sz="4" w:space="0" w:color="auto"/>
              <w:bottom w:val="single" w:sz="4" w:space="0" w:color="auto"/>
            </w:tcBorders>
            <w:noWrap/>
            <w:vAlign w:val="center"/>
            <w:hideMark/>
          </w:tcPr>
          <w:p w14:paraId="75327585"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40,46 ± 1,21</w:t>
            </w:r>
          </w:p>
        </w:tc>
        <w:tc>
          <w:tcPr>
            <w:tcW w:w="1706" w:type="pct"/>
            <w:tcBorders>
              <w:top w:val="single" w:sz="4" w:space="0" w:color="auto"/>
              <w:bottom w:val="single" w:sz="4" w:space="0" w:color="auto"/>
            </w:tcBorders>
            <w:noWrap/>
            <w:vAlign w:val="center"/>
            <w:hideMark/>
          </w:tcPr>
          <w:p w14:paraId="2BD3754A"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40,87 ± 2,82</w:t>
            </w:r>
          </w:p>
        </w:tc>
      </w:tr>
      <w:tr w:rsidR="00A12FBC" w:rsidRPr="005257DB" w14:paraId="0E27FEEF" w14:textId="77777777" w:rsidTr="00CF652F">
        <w:trPr>
          <w:trHeight w:val="283"/>
        </w:trPr>
        <w:tc>
          <w:tcPr>
            <w:tcW w:w="1647" w:type="pct"/>
            <w:tcBorders>
              <w:top w:val="single" w:sz="4" w:space="0" w:color="auto"/>
              <w:bottom w:val="single" w:sz="12" w:space="0" w:color="808080" w:themeColor="background1" w:themeShade="80"/>
            </w:tcBorders>
            <w:noWrap/>
            <w:vAlign w:val="center"/>
            <w:hideMark/>
          </w:tcPr>
          <w:p w14:paraId="509526E1"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color w:val="000000"/>
              </w:rPr>
              <w:t>NaCl</w:t>
            </w:r>
          </w:p>
        </w:tc>
        <w:tc>
          <w:tcPr>
            <w:tcW w:w="1647" w:type="pct"/>
            <w:tcBorders>
              <w:top w:val="single" w:sz="4" w:space="0" w:color="auto"/>
              <w:bottom w:val="single" w:sz="12" w:space="0" w:color="808080" w:themeColor="background1" w:themeShade="80"/>
            </w:tcBorders>
            <w:vAlign w:val="center"/>
            <w:hideMark/>
          </w:tcPr>
          <w:p w14:paraId="050170D1" w14:textId="77777777" w:rsidR="00A12FBC" w:rsidRPr="005257DB" w:rsidRDefault="00A12FBC" w:rsidP="00A75CED">
            <w:pPr>
              <w:spacing w:after="0"/>
              <w:jc w:val="center"/>
              <w:rPr>
                <w:rFonts w:ascii="Times New Roman" w:hAnsi="Times New Roman"/>
                <w:color w:val="000000"/>
              </w:rPr>
            </w:pPr>
            <w:r w:rsidRPr="005257DB">
              <w:rPr>
                <w:rFonts w:ascii="Times New Roman" w:hAnsi="Times New Roman"/>
                <w:color w:val="000000"/>
              </w:rPr>
              <w:t>2,03 ± 0,18</w:t>
            </w:r>
          </w:p>
        </w:tc>
        <w:tc>
          <w:tcPr>
            <w:tcW w:w="1706" w:type="pct"/>
            <w:tcBorders>
              <w:top w:val="single" w:sz="4" w:space="0" w:color="auto"/>
              <w:bottom w:val="single" w:sz="12" w:space="0" w:color="808080" w:themeColor="background1" w:themeShade="80"/>
            </w:tcBorders>
            <w:vAlign w:val="center"/>
            <w:hideMark/>
          </w:tcPr>
          <w:p w14:paraId="2351A4B2" w14:textId="77777777" w:rsidR="00A12FBC" w:rsidRPr="005257DB" w:rsidRDefault="00A12FBC" w:rsidP="00A75CED">
            <w:pPr>
              <w:spacing w:after="0"/>
              <w:jc w:val="center"/>
              <w:rPr>
                <w:rFonts w:ascii="Times New Roman" w:hAnsi="Times New Roman"/>
                <w:color w:val="000000"/>
              </w:rPr>
            </w:pPr>
            <w:r w:rsidRPr="005257DB">
              <w:rPr>
                <w:rFonts w:ascii="Times New Roman" w:hAnsi="Times New Roman"/>
                <w:color w:val="000000"/>
              </w:rPr>
              <w:t>2,00 ± 0,22</w:t>
            </w:r>
          </w:p>
        </w:tc>
      </w:tr>
    </w:tbl>
    <w:p w14:paraId="2F6BC821" w14:textId="77777777" w:rsidR="00A12FBC" w:rsidRPr="005257DB" w:rsidRDefault="00A12FBC" w:rsidP="00A12FBC">
      <w:pPr>
        <w:spacing w:before="60" w:after="0" w:line="240" w:lineRule="auto"/>
        <w:jc w:val="both"/>
        <w:rPr>
          <w:rFonts w:ascii="Times New Roman" w:hAnsi="Times New Roman"/>
          <w:i/>
          <w:iCs/>
        </w:rPr>
      </w:pPr>
      <w:r w:rsidRPr="005257DB">
        <w:rPr>
          <w:rFonts w:ascii="Times New Roman" w:hAnsi="Times New Roman"/>
          <w:i/>
          <w:iCs/>
        </w:rPr>
        <w:t xml:space="preserve">Legenda: Rozdílné horní indexy ve stejném řádku ukazují statisticky významné rozdíly (p ˂ 0,05).  </w:t>
      </w:r>
    </w:p>
    <w:p w14:paraId="54E96165" w14:textId="77777777" w:rsidR="00A12FBC" w:rsidRDefault="00A12FBC" w:rsidP="00A12FBC">
      <w:pPr>
        <w:spacing w:before="240" w:after="120" w:line="360" w:lineRule="auto"/>
        <w:jc w:val="both"/>
        <w:rPr>
          <w:rFonts w:ascii="Times New Roman" w:hAnsi="Times New Roman"/>
          <w:sz w:val="24"/>
          <w:szCs w:val="24"/>
        </w:rPr>
      </w:pPr>
      <w:r>
        <w:rPr>
          <w:rFonts w:ascii="Times New Roman" w:hAnsi="Times New Roman"/>
          <w:sz w:val="24"/>
          <w:szCs w:val="24"/>
        </w:rPr>
        <w:t xml:space="preserve">Barva hraje klíčovou roli v ovlivňování rozhodování spotřebitelů při nákupu masných výrobků (Ranucci </w:t>
      </w:r>
      <w:r>
        <w:rPr>
          <w:rFonts w:ascii="Times New Roman" w:hAnsi="Times New Roman"/>
          <w:sz w:val="24"/>
          <w:szCs w:val="24"/>
        </w:rPr>
        <w:br/>
        <w:t>et al., 2019). Výsledky měření barvy (Tabulka 3) odhalují rozdíly mezi jednotlivými vzorky. Konkrétně jsou polokonzervy s bobřím masem tmavší (p &lt; 0,05) ve srovnání s polokonzervami s hovězím masem. Hodnoty parametru L* u výrobku s bobřím dosahují průměrné hodnoty 49,62 ± 0,18. Tato hodnota koreluje s hodnotami u syrového bobřího masa, které je typické svou výraznou tmavě červenou barvou (Florek et al., 2017).</w:t>
      </w:r>
    </w:p>
    <w:p w14:paraId="184A3D81" w14:textId="77777777" w:rsidR="00A12FBC" w:rsidRPr="005257DB" w:rsidRDefault="00A12FBC" w:rsidP="00A12FBC">
      <w:pPr>
        <w:pStyle w:val="Titulek"/>
        <w:keepNext/>
        <w:spacing w:after="60"/>
        <w:rPr>
          <w:rFonts w:ascii="Times New Roman" w:hAnsi="Times New Roman"/>
          <w:i w:val="0"/>
          <w:iCs w:val="0"/>
          <w:color w:val="000000" w:themeColor="text1"/>
          <w:sz w:val="22"/>
          <w:szCs w:val="22"/>
        </w:rPr>
      </w:pPr>
      <w:r w:rsidRPr="005257DB">
        <w:rPr>
          <w:rFonts w:ascii="Times New Roman" w:hAnsi="Times New Roman"/>
          <w:b/>
          <w:bCs/>
          <w:i w:val="0"/>
          <w:iCs w:val="0"/>
          <w:color w:val="000000" w:themeColor="text1"/>
          <w:sz w:val="22"/>
          <w:szCs w:val="22"/>
        </w:rPr>
        <w:t xml:space="preserve">Tabulka </w:t>
      </w:r>
      <w:r w:rsidRPr="005257DB">
        <w:rPr>
          <w:rFonts w:ascii="Times New Roman" w:hAnsi="Times New Roman"/>
          <w:b/>
          <w:bCs/>
          <w:i w:val="0"/>
          <w:iCs w:val="0"/>
          <w:color w:val="000000" w:themeColor="text1"/>
          <w:sz w:val="22"/>
          <w:szCs w:val="22"/>
        </w:rPr>
        <w:fldChar w:fldCharType="begin"/>
      </w:r>
      <w:r w:rsidRPr="005257DB">
        <w:rPr>
          <w:rFonts w:ascii="Times New Roman" w:hAnsi="Times New Roman"/>
          <w:b/>
          <w:bCs/>
          <w:i w:val="0"/>
          <w:iCs w:val="0"/>
          <w:color w:val="000000" w:themeColor="text1"/>
          <w:sz w:val="22"/>
          <w:szCs w:val="22"/>
        </w:rPr>
        <w:instrText xml:space="preserve"> SEQ Tabulka \* ARABIC </w:instrText>
      </w:r>
      <w:r w:rsidRPr="005257DB">
        <w:rPr>
          <w:rFonts w:ascii="Times New Roman" w:hAnsi="Times New Roman"/>
          <w:b/>
          <w:bCs/>
          <w:i w:val="0"/>
          <w:iCs w:val="0"/>
          <w:color w:val="000000" w:themeColor="text1"/>
          <w:sz w:val="22"/>
          <w:szCs w:val="22"/>
        </w:rPr>
        <w:fldChar w:fldCharType="separate"/>
      </w:r>
      <w:r>
        <w:rPr>
          <w:rFonts w:ascii="Times New Roman" w:hAnsi="Times New Roman"/>
          <w:b/>
          <w:bCs/>
          <w:i w:val="0"/>
          <w:iCs w:val="0"/>
          <w:noProof/>
          <w:color w:val="000000" w:themeColor="text1"/>
          <w:sz w:val="22"/>
          <w:szCs w:val="22"/>
        </w:rPr>
        <w:t>3</w:t>
      </w:r>
      <w:r w:rsidRPr="005257DB">
        <w:rPr>
          <w:rFonts w:ascii="Times New Roman" w:hAnsi="Times New Roman"/>
          <w:b/>
          <w:bCs/>
          <w:i w:val="0"/>
          <w:iCs w:val="0"/>
          <w:color w:val="000000" w:themeColor="text1"/>
          <w:sz w:val="22"/>
          <w:szCs w:val="22"/>
        </w:rPr>
        <w:fldChar w:fldCharType="end"/>
      </w:r>
      <w:r w:rsidRPr="005257DB">
        <w:rPr>
          <w:rFonts w:ascii="Times New Roman" w:hAnsi="Times New Roman"/>
          <w:b/>
          <w:bCs/>
          <w:i w:val="0"/>
          <w:iCs w:val="0"/>
          <w:color w:val="000000" w:themeColor="text1"/>
          <w:sz w:val="22"/>
          <w:szCs w:val="22"/>
        </w:rPr>
        <w:t>:</w:t>
      </w:r>
      <w:r w:rsidRPr="005257DB">
        <w:rPr>
          <w:rFonts w:ascii="Times New Roman" w:hAnsi="Times New Roman"/>
          <w:i w:val="0"/>
          <w:iCs w:val="0"/>
          <w:color w:val="000000" w:themeColor="text1"/>
          <w:sz w:val="22"/>
          <w:szCs w:val="22"/>
        </w:rPr>
        <w:t xml:space="preserve"> Výsledky instrumentálního měření barvy polokonzerv</w:t>
      </w:r>
    </w:p>
    <w:tbl>
      <w:tblPr>
        <w:tblStyle w:val="Styl1"/>
        <w:tblW w:w="5000" w:type="pct"/>
        <w:tblLook w:val="04A0" w:firstRow="1" w:lastRow="0" w:firstColumn="1" w:lastColumn="0" w:noHBand="0" w:noVBand="1"/>
      </w:tblPr>
      <w:tblGrid>
        <w:gridCol w:w="3447"/>
        <w:gridCol w:w="3448"/>
        <w:gridCol w:w="3571"/>
      </w:tblGrid>
      <w:tr w:rsidR="00A12FBC" w:rsidRPr="005257DB" w14:paraId="1F5D8F1F" w14:textId="77777777" w:rsidTr="00CF652F">
        <w:trPr>
          <w:cnfStyle w:val="100000000000" w:firstRow="1" w:lastRow="0" w:firstColumn="0" w:lastColumn="0" w:oddVBand="0" w:evenVBand="0" w:oddHBand="0" w:evenHBand="0" w:firstRowFirstColumn="0" w:firstRowLastColumn="0" w:lastRowFirstColumn="0" w:lastRowLastColumn="0"/>
          <w:trHeight w:val="283"/>
        </w:trPr>
        <w:tc>
          <w:tcPr>
            <w:tcW w:w="1647" w:type="pct"/>
            <w:noWrap/>
            <w:vAlign w:val="center"/>
          </w:tcPr>
          <w:p w14:paraId="73264139" w14:textId="77777777" w:rsidR="00A12FBC" w:rsidRPr="005257DB" w:rsidRDefault="00A12FBC" w:rsidP="00A75CED">
            <w:pPr>
              <w:spacing w:after="0"/>
              <w:rPr>
                <w:rFonts w:ascii="Times New Roman" w:hAnsi="Times New Roman"/>
                <w:color w:val="000000"/>
              </w:rPr>
            </w:pPr>
          </w:p>
        </w:tc>
        <w:tc>
          <w:tcPr>
            <w:tcW w:w="1647" w:type="pct"/>
            <w:noWrap/>
            <w:vAlign w:val="center"/>
            <w:hideMark/>
          </w:tcPr>
          <w:p w14:paraId="1DA10CDD" w14:textId="77777777" w:rsidR="00A12FBC" w:rsidRPr="005257DB" w:rsidRDefault="00A12FBC" w:rsidP="00A75CED">
            <w:pPr>
              <w:spacing w:after="0"/>
              <w:jc w:val="center"/>
              <w:rPr>
                <w:rFonts w:asciiTheme="minorHAnsi" w:hAnsiTheme="minorHAnsi" w:cstheme="minorBidi"/>
              </w:rPr>
            </w:pPr>
            <w:r w:rsidRPr="005257DB">
              <w:rPr>
                <w:rFonts w:ascii="Times New Roman" w:hAnsi="Times New Roman"/>
                <w:b/>
                <w:bCs/>
                <w:color w:val="000000" w:themeColor="text1"/>
              </w:rPr>
              <w:t>Polokonzerva s hovězím masem</w:t>
            </w:r>
          </w:p>
          <w:p w14:paraId="46773627" w14:textId="77777777" w:rsidR="00A12FBC" w:rsidRPr="005257DB" w:rsidRDefault="00A12FBC" w:rsidP="00A75CED">
            <w:pPr>
              <w:spacing w:after="0"/>
              <w:jc w:val="center"/>
              <w:rPr>
                <w:rFonts w:ascii="Times New Roman" w:hAnsi="Times New Roman"/>
                <w:color w:val="000000"/>
              </w:rPr>
            </w:pPr>
            <w:r w:rsidRPr="005257DB">
              <w:rPr>
                <w:rFonts w:ascii="Times New Roman" w:hAnsi="Times New Roman"/>
                <w:b/>
                <w:bCs/>
                <w:color w:val="000000"/>
              </w:rPr>
              <w:t>(x̄ ± SD)</w:t>
            </w:r>
          </w:p>
        </w:tc>
        <w:tc>
          <w:tcPr>
            <w:tcW w:w="1706" w:type="pct"/>
            <w:noWrap/>
            <w:vAlign w:val="center"/>
            <w:hideMark/>
          </w:tcPr>
          <w:p w14:paraId="66655506" w14:textId="77777777" w:rsidR="00A12FBC" w:rsidRPr="005257DB" w:rsidRDefault="00A12FBC" w:rsidP="00A75CED">
            <w:pPr>
              <w:spacing w:after="0"/>
              <w:jc w:val="center"/>
              <w:rPr>
                <w:rFonts w:ascii="Times New Roman" w:hAnsi="Times New Roman"/>
                <w:b/>
                <w:bCs/>
                <w:color w:val="000000"/>
              </w:rPr>
            </w:pPr>
            <w:r w:rsidRPr="005257DB">
              <w:rPr>
                <w:rFonts w:ascii="Times New Roman" w:hAnsi="Times New Roman"/>
                <w:b/>
                <w:bCs/>
                <w:color w:val="000000"/>
              </w:rPr>
              <w:t>Polokonzerva s bobřím masem</w:t>
            </w:r>
          </w:p>
          <w:p w14:paraId="587BC5BB" w14:textId="77777777" w:rsidR="00A12FBC" w:rsidRPr="005257DB" w:rsidRDefault="00A12FBC" w:rsidP="00A75CED">
            <w:pPr>
              <w:spacing w:after="0"/>
              <w:jc w:val="center"/>
              <w:rPr>
                <w:rFonts w:ascii="Times New Roman" w:hAnsi="Times New Roman"/>
                <w:color w:val="000000"/>
              </w:rPr>
            </w:pPr>
            <w:r w:rsidRPr="005257DB">
              <w:rPr>
                <w:rFonts w:ascii="Times New Roman" w:hAnsi="Times New Roman"/>
                <w:b/>
                <w:bCs/>
                <w:color w:val="000000"/>
              </w:rPr>
              <w:t>(x̄ ± SD)</w:t>
            </w:r>
          </w:p>
        </w:tc>
      </w:tr>
      <w:tr w:rsidR="00A12FBC" w:rsidRPr="005257DB" w14:paraId="5C31C2CA" w14:textId="77777777" w:rsidTr="00CF652F">
        <w:trPr>
          <w:trHeight w:val="283"/>
        </w:trPr>
        <w:tc>
          <w:tcPr>
            <w:tcW w:w="1647" w:type="pct"/>
            <w:tcBorders>
              <w:top w:val="single" w:sz="12" w:space="0" w:color="808080" w:themeColor="background1" w:themeShade="80"/>
              <w:bottom w:val="single" w:sz="4" w:space="0" w:color="auto"/>
            </w:tcBorders>
            <w:noWrap/>
            <w:vAlign w:val="center"/>
            <w:hideMark/>
          </w:tcPr>
          <w:p w14:paraId="63485939"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color w:val="000000"/>
              </w:rPr>
              <w:t>L*</w:t>
            </w:r>
          </w:p>
        </w:tc>
        <w:tc>
          <w:tcPr>
            <w:tcW w:w="1647" w:type="pct"/>
            <w:tcBorders>
              <w:top w:val="single" w:sz="12" w:space="0" w:color="808080" w:themeColor="background1" w:themeShade="80"/>
              <w:bottom w:val="single" w:sz="4" w:space="0" w:color="auto"/>
            </w:tcBorders>
            <w:noWrap/>
            <w:vAlign w:val="center"/>
            <w:hideMark/>
          </w:tcPr>
          <w:p w14:paraId="6993CC0D"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57,30 ± 0,23</w:t>
            </w:r>
            <w:r w:rsidRPr="005257DB">
              <w:rPr>
                <w:rFonts w:ascii="Times New Roman" w:hAnsi="Times New Roman"/>
                <w:color w:val="000000"/>
                <w:vertAlign w:val="superscript"/>
              </w:rPr>
              <w:t>a</w:t>
            </w:r>
          </w:p>
        </w:tc>
        <w:tc>
          <w:tcPr>
            <w:tcW w:w="1706" w:type="pct"/>
            <w:tcBorders>
              <w:top w:val="single" w:sz="12" w:space="0" w:color="808080" w:themeColor="background1" w:themeShade="80"/>
              <w:bottom w:val="single" w:sz="4" w:space="0" w:color="auto"/>
            </w:tcBorders>
            <w:noWrap/>
            <w:vAlign w:val="center"/>
            <w:hideMark/>
          </w:tcPr>
          <w:p w14:paraId="66080196"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49,62 ± 0,18</w:t>
            </w:r>
            <w:r w:rsidRPr="005257DB">
              <w:rPr>
                <w:rFonts w:ascii="Times New Roman" w:hAnsi="Times New Roman"/>
                <w:color w:val="000000"/>
                <w:vertAlign w:val="superscript"/>
              </w:rPr>
              <w:t>b</w:t>
            </w:r>
          </w:p>
        </w:tc>
      </w:tr>
      <w:tr w:rsidR="00A12FBC" w:rsidRPr="005257DB" w14:paraId="38C90CCF" w14:textId="77777777" w:rsidTr="00CF652F">
        <w:trPr>
          <w:trHeight w:val="283"/>
        </w:trPr>
        <w:tc>
          <w:tcPr>
            <w:tcW w:w="1647" w:type="pct"/>
            <w:tcBorders>
              <w:top w:val="single" w:sz="4" w:space="0" w:color="auto"/>
              <w:bottom w:val="single" w:sz="4" w:space="0" w:color="auto"/>
            </w:tcBorders>
            <w:noWrap/>
            <w:vAlign w:val="center"/>
            <w:hideMark/>
          </w:tcPr>
          <w:p w14:paraId="7C0A9D6A"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color w:val="000000"/>
              </w:rPr>
              <w:t>a*</w:t>
            </w:r>
          </w:p>
        </w:tc>
        <w:tc>
          <w:tcPr>
            <w:tcW w:w="1647" w:type="pct"/>
            <w:tcBorders>
              <w:top w:val="single" w:sz="4" w:space="0" w:color="auto"/>
              <w:bottom w:val="single" w:sz="4" w:space="0" w:color="auto"/>
            </w:tcBorders>
            <w:noWrap/>
            <w:vAlign w:val="center"/>
            <w:hideMark/>
          </w:tcPr>
          <w:p w14:paraId="3E45EA23"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5,37 ± 0,42</w:t>
            </w:r>
          </w:p>
        </w:tc>
        <w:tc>
          <w:tcPr>
            <w:tcW w:w="1706" w:type="pct"/>
            <w:tcBorders>
              <w:top w:val="single" w:sz="4" w:space="0" w:color="auto"/>
              <w:bottom w:val="single" w:sz="4" w:space="0" w:color="auto"/>
            </w:tcBorders>
            <w:noWrap/>
            <w:vAlign w:val="center"/>
            <w:hideMark/>
          </w:tcPr>
          <w:p w14:paraId="1B3419A8"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6,25 ± 0,54</w:t>
            </w:r>
          </w:p>
        </w:tc>
      </w:tr>
      <w:tr w:rsidR="00A12FBC" w:rsidRPr="005257DB" w14:paraId="05D1AFAB" w14:textId="77777777" w:rsidTr="00CF652F">
        <w:trPr>
          <w:trHeight w:val="283"/>
        </w:trPr>
        <w:tc>
          <w:tcPr>
            <w:tcW w:w="1647" w:type="pct"/>
            <w:tcBorders>
              <w:top w:val="single" w:sz="4" w:space="0" w:color="auto"/>
              <w:bottom w:val="single" w:sz="12" w:space="0" w:color="808080" w:themeColor="background1" w:themeShade="80"/>
            </w:tcBorders>
            <w:noWrap/>
            <w:vAlign w:val="center"/>
            <w:hideMark/>
          </w:tcPr>
          <w:p w14:paraId="13FD45AE" w14:textId="77777777" w:rsidR="00A12FBC" w:rsidRPr="005257DB" w:rsidRDefault="00A12FBC" w:rsidP="00A75CED">
            <w:pPr>
              <w:spacing w:after="0"/>
              <w:rPr>
                <w:rFonts w:ascii="Times New Roman" w:hAnsi="Times New Roman"/>
                <w:b/>
                <w:bCs/>
                <w:color w:val="000000"/>
              </w:rPr>
            </w:pPr>
            <w:r w:rsidRPr="005257DB">
              <w:rPr>
                <w:rFonts w:ascii="Times New Roman" w:hAnsi="Times New Roman"/>
                <w:b/>
                <w:bCs/>
                <w:color w:val="000000"/>
              </w:rPr>
              <w:t>b*</w:t>
            </w:r>
          </w:p>
        </w:tc>
        <w:tc>
          <w:tcPr>
            <w:tcW w:w="1647" w:type="pct"/>
            <w:tcBorders>
              <w:top w:val="single" w:sz="4" w:space="0" w:color="auto"/>
              <w:bottom w:val="single" w:sz="12" w:space="0" w:color="808080" w:themeColor="background1" w:themeShade="80"/>
            </w:tcBorders>
            <w:noWrap/>
            <w:vAlign w:val="center"/>
            <w:hideMark/>
          </w:tcPr>
          <w:p w14:paraId="7666EDF0"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12,45 ± 0,11</w:t>
            </w:r>
          </w:p>
        </w:tc>
        <w:tc>
          <w:tcPr>
            <w:tcW w:w="1706" w:type="pct"/>
            <w:tcBorders>
              <w:top w:val="single" w:sz="4" w:space="0" w:color="auto"/>
              <w:bottom w:val="single" w:sz="12" w:space="0" w:color="808080" w:themeColor="background1" w:themeShade="80"/>
            </w:tcBorders>
            <w:noWrap/>
            <w:vAlign w:val="center"/>
            <w:hideMark/>
          </w:tcPr>
          <w:p w14:paraId="65C30633" w14:textId="77777777" w:rsidR="00A12FBC" w:rsidRPr="005257DB" w:rsidRDefault="00A12FBC" w:rsidP="00A75CED">
            <w:pPr>
              <w:spacing w:after="0"/>
              <w:jc w:val="center"/>
              <w:rPr>
                <w:rFonts w:ascii="Times New Roman" w:hAnsi="Times New Roman"/>
                <w:color w:val="000000"/>
                <w:vertAlign w:val="superscript"/>
              </w:rPr>
            </w:pPr>
            <w:r w:rsidRPr="005257DB">
              <w:rPr>
                <w:rFonts w:ascii="Times New Roman" w:hAnsi="Times New Roman"/>
                <w:color w:val="000000"/>
              </w:rPr>
              <w:t>12,04 ± 0,22</w:t>
            </w:r>
          </w:p>
        </w:tc>
      </w:tr>
    </w:tbl>
    <w:p w14:paraId="584CDE21" w14:textId="77777777" w:rsidR="00A12FBC" w:rsidRPr="005257DB" w:rsidRDefault="00A12FBC" w:rsidP="00A12FBC">
      <w:pPr>
        <w:spacing w:before="60" w:after="0" w:line="240" w:lineRule="auto"/>
        <w:jc w:val="both"/>
        <w:rPr>
          <w:rFonts w:ascii="Times New Roman" w:hAnsi="Times New Roman"/>
          <w:i/>
          <w:iCs/>
        </w:rPr>
      </w:pPr>
      <w:r w:rsidRPr="005257DB">
        <w:rPr>
          <w:rFonts w:ascii="Times New Roman" w:hAnsi="Times New Roman"/>
          <w:i/>
          <w:iCs/>
        </w:rPr>
        <w:t xml:space="preserve">Legenda: Rozdílné horní indexy ve stejném řádku ukazují statisticky významné rozdíly (p ˂ 0,05).  </w:t>
      </w:r>
    </w:p>
    <w:p w14:paraId="17F27BDF" w14:textId="77777777" w:rsidR="00A12FBC" w:rsidRDefault="00A12FBC" w:rsidP="00A12FBC">
      <w:pPr>
        <w:spacing w:before="240" w:after="120" w:line="360" w:lineRule="auto"/>
        <w:jc w:val="both"/>
        <w:rPr>
          <w:rFonts w:ascii="Times New Roman" w:hAnsi="Times New Roman"/>
          <w:sz w:val="24"/>
          <w:szCs w:val="24"/>
        </w:rPr>
      </w:pPr>
      <w:r>
        <w:rPr>
          <w:rFonts w:ascii="Times New Roman" w:hAnsi="Times New Roman"/>
          <w:sz w:val="24"/>
          <w:szCs w:val="24"/>
        </w:rPr>
        <w:t xml:space="preserve">Senzorická analýza (Obrázek 1) prokázala rozdíly hned v několika deskriptorech.  Polokonzerva s bobřím masem byla hodnocena lépe v celkovém vzhledu výrobku a přijatelnosti barvy </w:t>
      </w:r>
      <w:r>
        <w:rPr>
          <w:rFonts w:ascii="Times New Roman" w:hAnsi="Times New Roman"/>
          <w:sz w:val="24"/>
        </w:rPr>
        <w:t xml:space="preserve">(p ˂ 0,05). </w:t>
      </w:r>
      <w:r>
        <w:rPr>
          <w:rFonts w:ascii="Times New Roman" w:hAnsi="Times New Roman"/>
          <w:sz w:val="24"/>
          <w:szCs w:val="24"/>
        </w:rPr>
        <w:t xml:space="preserve"> Výrobek byl tedy již na první pohled pro hodnotitele lákavější. Naše výsledky rovněž potvrzují závěry studie Żochowska-Kujawska et al. (2016), kteří publikovali, že 20 % až 40 % bobřího masa v receptuře má pozitivní vliv na chuť masných výrobků. Produkt s masem bobra byl lépe hodnocen nejen v chuti, ale dokonce i ve šťavnatosti </w:t>
      </w:r>
      <w:r>
        <w:rPr>
          <w:rFonts w:ascii="Times New Roman" w:hAnsi="Times New Roman"/>
          <w:sz w:val="24"/>
          <w:szCs w:val="24"/>
        </w:rPr>
        <w:br/>
      </w:r>
      <w:r>
        <w:rPr>
          <w:rFonts w:ascii="Times New Roman" w:hAnsi="Times New Roman"/>
          <w:sz w:val="24"/>
        </w:rPr>
        <w:t>(p ˂ 0,05)</w:t>
      </w:r>
      <w:r>
        <w:rPr>
          <w:rFonts w:ascii="Times New Roman" w:hAnsi="Times New Roman"/>
          <w:sz w:val="24"/>
          <w:szCs w:val="24"/>
        </w:rPr>
        <w:t xml:space="preserve">. </w:t>
      </w:r>
    </w:p>
    <w:p w14:paraId="4C86D25B" w14:textId="77777777" w:rsidR="00A12FBC" w:rsidRDefault="00A12FBC" w:rsidP="00A12FBC">
      <w:pPr>
        <w:keepNext/>
        <w:spacing w:after="0" w:line="360" w:lineRule="auto"/>
        <w:jc w:val="center"/>
        <w:rPr>
          <w:rFonts w:ascii="Times New Roman" w:hAnsi="Times New Roman"/>
        </w:rPr>
      </w:pPr>
      <w:r>
        <w:rPr>
          <w:rFonts w:ascii="Times New Roman" w:hAnsi="Times New Roman"/>
          <w:noProof/>
          <w:sz w:val="24"/>
          <w:szCs w:val="24"/>
        </w:rPr>
        <w:lastRenderedPageBreak/>
        <w:drawing>
          <wp:inline distT="0" distB="0" distL="0" distR="0" wp14:anchorId="19EC8B03" wp14:editId="229DC03E">
            <wp:extent cx="5759450" cy="3676650"/>
            <wp:effectExtent l="0" t="0" r="0" b="0"/>
            <wp:docPr id="2069467752" name="Obrázek 64" descr="Obsah obrázku diagram, řada/p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bsah obrázku diagram, řada/pruh&#10;&#10;Popis byl vytvořen automatick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0" cy="3676650"/>
                    </a:xfrm>
                    <a:prstGeom prst="rect">
                      <a:avLst/>
                    </a:prstGeom>
                    <a:noFill/>
                    <a:ln>
                      <a:noFill/>
                    </a:ln>
                  </pic:spPr>
                </pic:pic>
              </a:graphicData>
            </a:graphic>
          </wp:inline>
        </w:drawing>
      </w:r>
    </w:p>
    <w:p w14:paraId="6B40DDAC" w14:textId="77777777" w:rsidR="00A12FBC" w:rsidRPr="005257DB" w:rsidRDefault="00A12FBC" w:rsidP="00A12FBC">
      <w:pPr>
        <w:pStyle w:val="Titulek"/>
        <w:spacing w:before="60" w:after="240" w:line="276" w:lineRule="auto"/>
        <w:ind w:left="1134" w:hanging="1276"/>
        <w:jc w:val="center"/>
        <w:rPr>
          <w:rFonts w:ascii="Times New Roman" w:hAnsi="Times New Roman"/>
          <w:i w:val="0"/>
          <w:iCs w:val="0"/>
          <w:color w:val="000000" w:themeColor="text1"/>
          <w:sz w:val="22"/>
          <w:szCs w:val="22"/>
        </w:rPr>
      </w:pPr>
      <w:r w:rsidRPr="005257DB">
        <w:rPr>
          <w:rFonts w:ascii="Times New Roman" w:hAnsi="Times New Roman"/>
          <w:b/>
          <w:bCs/>
          <w:i w:val="0"/>
          <w:iCs w:val="0"/>
          <w:color w:val="000000" w:themeColor="text1"/>
          <w:sz w:val="22"/>
          <w:szCs w:val="22"/>
        </w:rPr>
        <w:t xml:space="preserve">Obrázek </w:t>
      </w:r>
      <w:r w:rsidRPr="005257DB">
        <w:rPr>
          <w:rFonts w:ascii="Times New Roman" w:hAnsi="Times New Roman"/>
          <w:b/>
          <w:bCs/>
          <w:i w:val="0"/>
          <w:iCs w:val="0"/>
          <w:color w:val="000000" w:themeColor="text1"/>
          <w:sz w:val="22"/>
          <w:szCs w:val="22"/>
        </w:rPr>
        <w:fldChar w:fldCharType="begin"/>
      </w:r>
      <w:r w:rsidRPr="005257DB">
        <w:rPr>
          <w:rFonts w:ascii="Times New Roman" w:hAnsi="Times New Roman"/>
          <w:b/>
          <w:bCs/>
          <w:i w:val="0"/>
          <w:iCs w:val="0"/>
          <w:color w:val="000000" w:themeColor="text1"/>
          <w:sz w:val="22"/>
          <w:szCs w:val="22"/>
        </w:rPr>
        <w:instrText xml:space="preserve"> SEQ Obrázek \* ARABIC </w:instrText>
      </w:r>
      <w:r w:rsidRPr="005257DB">
        <w:rPr>
          <w:rFonts w:ascii="Times New Roman" w:hAnsi="Times New Roman"/>
          <w:b/>
          <w:bCs/>
          <w:i w:val="0"/>
          <w:iCs w:val="0"/>
          <w:color w:val="000000" w:themeColor="text1"/>
          <w:sz w:val="22"/>
          <w:szCs w:val="22"/>
        </w:rPr>
        <w:fldChar w:fldCharType="separate"/>
      </w:r>
      <w:r>
        <w:rPr>
          <w:rFonts w:ascii="Times New Roman" w:hAnsi="Times New Roman"/>
          <w:b/>
          <w:bCs/>
          <w:i w:val="0"/>
          <w:iCs w:val="0"/>
          <w:noProof/>
          <w:color w:val="000000" w:themeColor="text1"/>
          <w:sz w:val="22"/>
          <w:szCs w:val="22"/>
        </w:rPr>
        <w:t>1</w:t>
      </w:r>
      <w:r w:rsidRPr="005257DB">
        <w:rPr>
          <w:rFonts w:ascii="Times New Roman" w:hAnsi="Times New Roman"/>
          <w:b/>
          <w:bCs/>
          <w:i w:val="0"/>
          <w:iCs w:val="0"/>
          <w:color w:val="000000" w:themeColor="text1"/>
          <w:sz w:val="22"/>
          <w:szCs w:val="22"/>
        </w:rPr>
        <w:fldChar w:fldCharType="end"/>
      </w:r>
      <w:r w:rsidRPr="005257DB">
        <w:rPr>
          <w:rFonts w:ascii="Times New Roman" w:hAnsi="Times New Roman"/>
          <w:b/>
          <w:bCs/>
          <w:i w:val="0"/>
          <w:iCs w:val="0"/>
          <w:color w:val="000000" w:themeColor="text1"/>
          <w:sz w:val="22"/>
          <w:szCs w:val="22"/>
        </w:rPr>
        <w:t>:</w:t>
      </w:r>
      <w:r w:rsidRPr="005257DB">
        <w:rPr>
          <w:rFonts w:ascii="Times New Roman" w:hAnsi="Times New Roman"/>
          <w:i w:val="0"/>
          <w:iCs w:val="0"/>
          <w:color w:val="000000" w:themeColor="text1"/>
          <w:sz w:val="22"/>
          <w:szCs w:val="22"/>
        </w:rPr>
        <w:t xml:space="preserve"> Graf senzorického hodnocení polokonzerv</w:t>
      </w:r>
    </w:p>
    <w:p w14:paraId="32850FEA" w14:textId="77777777" w:rsidR="00A12FBC" w:rsidRPr="00867CB2" w:rsidRDefault="00A12FBC" w:rsidP="00A12FBC">
      <w:pPr>
        <w:spacing w:after="0" w:line="360" w:lineRule="auto"/>
        <w:jc w:val="both"/>
        <w:rPr>
          <w:rFonts w:ascii="Times New Roman" w:hAnsi="Times New Roman"/>
          <w:b/>
          <w:bCs/>
          <w:sz w:val="24"/>
        </w:rPr>
      </w:pPr>
      <w:r w:rsidRPr="00867CB2">
        <w:rPr>
          <w:rFonts w:ascii="Times New Roman" w:hAnsi="Times New Roman"/>
          <w:b/>
          <w:bCs/>
          <w:sz w:val="24"/>
        </w:rPr>
        <w:t>ZÁVĚR</w:t>
      </w:r>
      <w:r>
        <w:rPr>
          <w:rFonts w:ascii="Times New Roman" w:hAnsi="Times New Roman"/>
          <w:b/>
          <w:bCs/>
          <w:sz w:val="24"/>
        </w:rPr>
        <w:t xml:space="preserve"> /</w:t>
      </w:r>
      <w:r w:rsidRPr="0042102F">
        <w:t xml:space="preserve"> </w:t>
      </w:r>
      <w:r w:rsidRPr="0042102F">
        <w:rPr>
          <w:rFonts w:ascii="Times New Roman" w:hAnsi="Times New Roman"/>
          <w:b/>
          <w:bCs/>
          <w:sz w:val="24"/>
        </w:rPr>
        <w:t>CONCLUSIONS</w:t>
      </w:r>
    </w:p>
    <w:p w14:paraId="35C0445F" w14:textId="77777777" w:rsidR="00A12FBC" w:rsidRDefault="00A12FBC" w:rsidP="00A12FBC">
      <w:pPr>
        <w:spacing w:after="120" w:line="360" w:lineRule="auto"/>
        <w:jc w:val="both"/>
        <w:rPr>
          <w:rFonts w:ascii="Times New Roman" w:hAnsi="Times New Roman"/>
          <w:sz w:val="24"/>
          <w:szCs w:val="24"/>
        </w:rPr>
      </w:pPr>
      <w:r>
        <w:rPr>
          <w:rFonts w:ascii="Times New Roman" w:hAnsi="Times New Roman"/>
          <w:sz w:val="24"/>
          <w:szCs w:val="24"/>
        </w:rPr>
        <w:t>Polokonzervy jsou velmi dobrým způsobem, jak využít maso legálně odloveného bobra evropského. Polokonzerva s bobřím masem obsahovala více bílkovin a méně tuku. Díky tmavě červenému zbarvení bobřího masa měl i výsledný produkt tmavší barvu. Výrobek s bobřím masem vykazoval velmi dobré senzorické vlastnosti. Polokonzerva vyrobena tímto technologickým postupem umožňuje efektivní využití vzácné suroviny a prodloužení její trvanlivosti. Zároveň nabízí spotřebitelům možnost zažít unikátní chuťový zážitek.</w:t>
      </w:r>
    </w:p>
    <w:p w14:paraId="2C0BCB7A" w14:textId="77777777" w:rsidR="00A12FBC" w:rsidRPr="00301256" w:rsidRDefault="00A12FBC" w:rsidP="00A12FBC">
      <w:pPr>
        <w:spacing w:after="120" w:line="240" w:lineRule="auto"/>
        <w:rPr>
          <w:rFonts w:ascii="Times New Roman" w:eastAsia="TimesNewRomanPSMT" w:hAnsi="Times New Roman"/>
          <w:b/>
          <w:sz w:val="24"/>
          <w:szCs w:val="24"/>
          <w:lang w:val="en-GB"/>
        </w:rPr>
      </w:pPr>
      <w:r w:rsidRPr="00301256">
        <w:rPr>
          <w:rFonts w:ascii="Times New Roman" w:hAnsi="Times New Roman"/>
          <w:b/>
          <w:bCs/>
          <w:sz w:val="24"/>
          <w:szCs w:val="24"/>
          <w:lang w:val="en-GB"/>
        </w:rPr>
        <w:t xml:space="preserve">PODĚKOVÁNÍ </w:t>
      </w:r>
      <w:r w:rsidRPr="00301256">
        <w:rPr>
          <w:rFonts w:ascii="Times New Roman" w:eastAsia="TimesNewRomanPSMT" w:hAnsi="Times New Roman"/>
          <w:b/>
          <w:sz w:val="24"/>
          <w:szCs w:val="24"/>
          <w:lang w:val="en-GB"/>
        </w:rPr>
        <w:t>/ ACKNOWLEDGEMENT</w:t>
      </w:r>
    </w:p>
    <w:p w14:paraId="5B89CE6D" w14:textId="77777777" w:rsidR="00A12FBC" w:rsidRDefault="00A12FBC" w:rsidP="00A12FBC">
      <w:pPr>
        <w:pStyle w:val="Normlnweb"/>
        <w:spacing w:before="0" w:beforeAutospacing="0" w:after="120" w:afterAutospacing="0" w:line="360" w:lineRule="auto"/>
        <w:jc w:val="both"/>
        <w:rPr>
          <w:shd w:val="clear" w:color="auto" w:fill="FFFFFF"/>
          <w:lang w:val="en-GB"/>
        </w:rPr>
      </w:pPr>
      <w:r w:rsidRPr="00301256">
        <w:rPr>
          <w:shd w:val="clear" w:color="auto" w:fill="FFFFFF"/>
          <w:lang w:val="en-GB"/>
        </w:rPr>
        <w:t>Výzkum byl finančně podpořen interním grantem IGA AF MENDELU č. AF-IGA2021-IP076 Nutriční, hygienické a senzorické jakostní parametry masa bobra evropského (</w:t>
      </w:r>
      <w:r w:rsidRPr="00301256">
        <w:rPr>
          <w:i/>
          <w:iCs/>
          <w:shd w:val="clear" w:color="auto" w:fill="FFFFFF"/>
          <w:lang w:val="en-GB"/>
        </w:rPr>
        <w:t>Castor fiber</w:t>
      </w:r>
      <w:r w:rsidRPr="00301256">
        <w:rPr>
          <w:shd w:val="clear" w:color="auto" w:fill="FFFFFF"/>
          <w:lang w:val="en-GB"/>
        </w:rPr>
        <w:t xml:space="preserve"> L.) a jeho technologické zhodnocení v masné výrobě.</w:t>
      </w:r>
    </w:p>
    <w:p w14:paraId="50C113E6" w14:textId="77777777" w:rsidR="00A12FBC" w:rsidRPr="0042102F" w:rsidRDefault="00A12FBC" w:rsidP="00A12FBC">
      <w:pPr>
        <w:spacing w:after="0" w:line="360" w:lineRule="auto"/>
        <w:jc w:val="both"/>
        <w:rPr>
          <w:rFonts w:ascii="Times New Roman" w:hAnsi="Times New Roman"/>
          <w:b/>
          <w:bCs/>
          <w:sz w:val="24"/>
        </w:rPr>
      </w:pPr>
      <w:r w:rsidRPr="0042102F">
        <w:rPr>
          <w:rFonts w:ascii="Times New Roman" w:hAnsi="Times New Roman"/>
          <w:b/>
          <w:bCs/>
          <w:sz w:val="24"/>
        </w:rPr>
        <w:t>LITERATURA</w:t>
      </w:r>
      <w:r>
        <w:rPr>
          <w:rFonts w:ascii="Times New Roman" w:hAnsi="Times New Roman"/>
          <w:b/>
          <w:bCs/>
          <w:sz w:val="24"/>
        </w:rPr>
        <w:t xml:space="preserve"> </w:t>
      </w:r>
      <w:r w:rsidRPr="0042102F">
        <w:rPr>
          <w:rFonts w:ascii="Times New Roman" w:hAnsi="Times New Roman"/>
          <w:b/>
          <w:bCs/>
          <w:sz w:val="24"/>
        </w:rPr>
        <w:t>/</w:t>
      </w:r>
      <w:r>
        <w:rPr>
          <w:rFonts w:ascii="Times New Roman" w:hAnsi="Times New Roman"/>
          <w:b/>
          <w:bCs/>
          <w:sz w:val="24"/>
        </w:rPr>
        <w:t xml:space="preserve"> </w:t>
      </w:r>
      <w:r w:rsidRPr="0042102F">
        <w:rPr>
          <w:rFonts w:ascii="Times New Roman" w:hAnsi="Times New Roman"/>
          <w:b/>
          <w:bCs/>
          <w:sz w:val="24"/>
        </w:rPr>
        <w:t>REFERENCES</w:t>
      </w:r>
    </w:p>
    <w:p w14:paraId="1A253267"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 xml:space="preserve">Baik, M., Lee, J., Kim, S. Y., Ranaweera, K. K. T. N. (2023): Factors affecting beef quality </w:t>
      </w:r>
      <w:r>
        <w:rPr>
          <w:rFonts w:ascii="Times New Roman" w:hAnsi="Times New Roman"/>
          <w:sz w:val="24"/>
        </w:rPr>
        <w:br/>
        <w:t>and nutrigenomics of intramuscular adipose tissue deposition. Animal Bioscience [online]. 36(2), 350–363. ISSN 2765-0189. Dostupné z: doi:10.5713/ab.22.0380</w:t>
      </w:r>
    </w:p>
    <w:p w14:paraId="200B56B6"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Capobianco, G., Viviano, A., Mazza, G.,Cimorelli, G., Casciano, A., Lagrotteria, A., Fusillo, R., Marcelli, M., Mori, E. (2023): “Oops…a Beaver Again!” Eurasian Beaver Castor fiber Recorded by Citizen-Science in New Areas of Central and Southern Italy. Animals [online]. 13(10), 1699. ISSN 2076-2615. Dostupné z: doi:10.3390/ani13101699</w:t>
      </w:r>
    </w:p>
    <w:p w14:paraId="6E0A4DEB"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lastRenderedPageBreak/>
        <w:t>ČSN EN ISO 8589 Senzorická analýza – Obecné pokyny pro uspořádání senzorického pracoviště, 5600 - Metody zkoušení a společná ustanovení</w:t>
      </w:r>
    </w:p>
    <w:p w14:paraId="1C5C2D5B" w14:textId="77777777" w:rsidR="00A12FBC" w:rsidRDefault="00A12FBC" w:rsidP="00A12FBC">
      <w:pPr>
        <w:spacing w:after="0" w:line="360" w:lineRule="auto"/>
        <w:jc w:val="both"/>
        <w:rPr>
          <w:rFonts w:ascii="Times New Roman" w:hAnsi="Times New Roman"/>
          <w:sz w:val="24"/>
        </w:rPr>
      </w:pPr>
      <w:r>
        <w:rPr>
          <w:rFonts w:ascii="Times New Roman" w:hAnsi="Times New Roman"/>
          <w:sz w:val="24"/>
        </w:rPr>
        <w:t xml:space="preserve">Enns, Ch., Van Vliet, N., Mbane, J., Muhindo, J., Nyumu, J., Bersaglio, B., Massé, F., Cerutti, P. O., Nasi, R. (2023): Vulnerability and coping strategies within wild meat trade networks during the COVID-19 pandemic. World Development [online]. 170, 106310. ISSN 0305-750X. </w:t>
      </w:r>
    </w:p>
    <w:p w14:paraId="1744AEA3"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Dostupné z: doi:10.1016/j.worlddev.2023.106310</w:t>
      </w:r>
    </w:p>
    <w:p w14:paraId="40EC6DFE"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Florek, M., Drozd, L., Skałecki, P., Domaradzki, P., Litwińczuk, A., Tajchman, K. (2017): Proximate composition and physicochemical properties of European beaver (Castor fiber L.) meat. Meat Science [online]. 123, 8–12. ISSN 0309-1740. Dostupné z: doi:10.1016/j.meatsci.2016.08.008</w:t>
      </w:r>
    </w:p>
    <w:p w14:paraId="49448DC1"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Keratimanoch, S., Takahashi, K., Kuda, T., Okazaki, E., Geng, J.-T., Osako, K. (2022). Effects of tyndallization temperature on the sterility and quality of kamaboko. Food Chemistry [online]. 366, 130692. ISSN 0308-8146. Dostupné z: doi:10.1016/j.foodchem.2021.130692</w:t>
      </w:r>
    </w:p>
    <w:p w14:paraId="65FEEED7"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Nařízení Evropského Parlamentu a Rady (ES) č. 853/2004 ze dne 29. dubna 2004, kterým se stanoví zvláštní hygienická pravidla pro potraviny živočišného původu</w:t>
      </w:r>
    </w:p>
    <w:p w14:paraId="001DA41F"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Qu, B., Xiao, Z., Upadhyay, A., Luo, Y. (2024): Perspectives on sustainable food production system: Characteristics and green technologies. Journal of Agriculture and Food Research [online]. 100988. ISSN 2666-1543. Dostupné z: doi:10.1016/j.jafr.2024.100988</w:t>
      </w:r>
    </w:p>
    <w:p w14:paraId="0C2DEFF6"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Ranucci, D., Roila, R., Miraglia, D., Arcangeli, Ch., Vercillo, F., Bellucci, S., Branciari, R. (2019): Microbial, chemical-physical, rheological and organoleptic characterisation of roe deer (Capreolus capreolus) salami. Italian Journal of Food Safety [online]. 8(3) [vid. 2023-08-31]. ISSN 2239-7132. Dostupné z: doi:10.4081/ijfs.2019.8195</w:t>
      </w:r>
    </w:p>
    <w:p w14:paraId="595B7AC5"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 xml:space="preserve">Wróbel, M. (2020): Population of Eurasian beaver (Castor fiber) in Europe. Global Ecology </w:t>
      </w:r>
      <w:r>
        <w:rPr>
          <w:rFonts w:ascii="Times New Roman" w:hAnsi="Times New Roman"/>
          <w:sz w:val="24"/>
        </w:rPr>
        <w:br/>
        <w:t>and Conservation [online]. 23, e01046. ISSN 2351-9894. Dostupné z: doi:10.1016/j.gecco.2020.e01046</w:t>
      </w:r>
    </w:p>
    <w:p w14:paraId="2581CDF2" w14:textId="77777777" w:rsidR="00A12FBC" w:rsidRDefault="00A12FBC" w:rsidP="00A12FBC">
      <w:pPr>
        <w:spacing w:after="120" w:line="360" w:lineRule="auto"/>
        <w:jc w:val="both"/>
        <w:rPr>
          <w:rFonts w:ascii="Times New Roman" w:hAnsi="Times New Roman"/>
          <w:sz w:val="24"/>
        </w:rPr>
      </w:pPr>
      <w:r>
        <w:rPr>
          <w:rFonts w:ascii="Times New Roman" w:hAnsi="Times New Roman"/>
          <w:sz w:val="24"/>
        </w:rPr>
        <w:t>Żochowska-Kujawska, J. et al. (2016): Compositional characteristics and nutritional quality of European beaver (Castor fiber L.) meat and its utility for sausage production. Czech Journal of Food Sciences [Online], 34: 87–92. Dostupné z: https://doi.org/10.17221/350/2015-CJFS</w:t>
      </w:r>
    </w:p>
    <w:p w14:paraId="7FC6872A" w14:textId="77777777" w:rsidR="00A12FBC" w:rsidRPr="00301256" w:rsidRDefault="00A12FBC" w:rsidP="00A12FBC">
      <w:pPr>
        <w:pStyle w:val="Normlnweb"/>
        <w:spacing w:before="240" w:beforeAutospacing="0" w:after="120" w:afterAutospacing="0" w:line="276" w:lineRule="auto"/>
        <w:jc w:val="both"/>
        <w:rPr>
          <w:shd w:val="clear" w:color="auto" w:fill="FFFFFF"/>
          <w:lang w:val="en-GB"/>
        </w:rPr>
      </w:pPr>
      <w:r w:rsidRPr="00301256">
        <w:rPr>
          <w:i/>
          <w:iCs/>
          <w:shd w:val="clear" w:color="auto" w:fill="FFFFFF"/>
          <w:lang w:val="en-GB"/>
        </w:rPr>
        <w:t>Kontaktní adresa</w:t>
      </w:r>
      <w:r w:rsidRPr="00301256">
        <w:rPr>
          <w:i/>
          <w:iCs/>
          <w:lang w:val="en-GB"/>
        </w:rPr>
        <w:t xml:space="preserve"> / Contact Information</w:t>
      </w:r>
      <w:r w:rsidRPr="00301256">
        <w:rPr>
          <w:i/>
          <w:iCs/>
          <w:shd w:val="clear" w:color="auto" w:fill="FFFFFF"/>
          <w:lang w:val="en-GB"/>
        </w:rPr>
        <w:t>: Ing. Jan Slováček, Ústav technologie potravin, Agronomická fakulta, Mendelova univerzita v Brně, Zemědělská 1665/1, 613 00 Brno.</w:t>
      </w:r>
    </w:p>
    <w:p w14:paraId="486E35E1" w14:textId="77777777" w:rsidR="008F1C23" w:rsidRPr="00A12FBC" w:rsidRDefault="008F1C23" w:rsidP="00A12FBC"/>
    <w:sectPr w:rsidR="008F1C23" w:rsidRPr="00A12FBC" w:rsidSect="00A12F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3" w:usb1="09060000" w:usb2="00000010"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BC"/>
    <w:rsid w:val="001B5393"/>
    <w:rsid w:val="006B11EB"/>
    <w:rsid w:val="008F1C23"/>
    <w:rsid w:val="00A12FBC"/>
    <w:rsid w:val="00A75CED"/>
    <w:rsid w:val="00EA2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CD86"/>
  <w15:chartTrackingRefBased/>
  <w15:docId w15:val="{FD2207DA-C904-4231-AF25-48B1E264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FBC"/>
    <w:pPr>
      <w:spacing w:after="200" w:line="276" w:lineRule="auto"/>
    </w:pPr>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12FBC"/>
    <w:pPr>
      <w:spacing w:before="100" w:beforeAutospacing="1" w:after="100" w:afterAutospacing="1" w:line="240" w:lineRule="auto"/>
    </w:pPr>
    <w:rPr>
      <w:rFonts w:ascii="Times New Roman" w:eastAsia="Times New Roman" w:hAnsi="Times New Roman"/>
      <w:sz w:val="24"/>
      <w:szCs w:val="24"/>
      <w:lang w:eastAsia="cs-CZ"/>
    </w:rPr>
  </w:style>
  <w:style w:type="paragraph" w:styleId="Titulek">
    <w:name w:val="caption"/>
    <w:aliases w:val="Obrázek"/>
    <w:basedOn w:val="Normln"/>
    <w:next w:val="Normln"/>
    <w:uiPriority w:val="35"/>
    <w:unhideWhenUsed/>
    <w:qFormat/>
    <w:rsid w:val="00A12FBC"/>
    <w:pPr>
      <w:spacing w:line="240" w:lineRule="auto"/>
    </w:pPr>
    <w:rPr>
      <w:i/>
      <w:iCs/>
      <w:color w:val="44546A" w:themeColor="text2"/>
      <w:sz w:val="18"/>
      <w:szCs w:val="18"/>
    </w:rPr>
  </w:style>
  <w:style w:type="table" w:customStyle="1" w:styleId="Styl1">
    <w:name w:val="Styl1"/>
    <w:basedOn w:val="Normlntabulka"/>
    <w:uiPriority w:val="99"/>
    <w:rsid w:val="00A12FBC"/>
    <w:pPr>
      <w:spacing w:after="0" w:line="240" w:lineRule="auto"/>
    </w:pPr>
    <w:rPr>
      <w:rFonts w:ascii="Times New Roman" w:hAnsi="Times New Roman"/>
      <w:kern w:val="0"/>
      <w14:ligatures w14:val="none"/>
    </w:rPr>
    <w:tblPr>
      <w:tblBorders>
        <w:top w:val="single" w:sz="12" w:space="0" w:color="808080" w:themeColor="background1" w:themeShade="80"/>
        <w:bottom w:val="single" w:sz="12" w:space="0" w:color="808080" w:themeColor="background1" w:themeShade="80"/>
      </w:tblBorders>
    </w:tblPr>
    <w:tcPr>
      <w:shd w:val="clear" w:color="auto" w:fill="FFFFFF" w:themeFill="background1"/>
    </w:tcPr>
    <w:tblStylePr w:type="firstRow">
      <w:pPr>
        <w:wordWrap/>
        <w:spacing w:beforeLines="0" w:beforeAutospacing="0" w:afterLines="0" w:afterAutospacing="0" w:line="240" w:lineRule="auto"/>
        <w:ind w:leftChars="0" w:left="0" w:rightChars="0" w:right="0" w:firstLineChars="0" w:firstLine="0"/>
      </w:pPr>
      <w:rPr>
        <w:rFonts w:ascii="Times New Roman" w:hAnsi="Times New Roman"/>
        <w:sz w:val="22"/>
      </w:rPr>
      <w:tblPr/>
      <w:tcPr>
        <w:tcBorders>
          <w:top w:val="single" w:sz="12" w:space="0" w:color="808080" w:themeColor="background1" w:themeShade="80"/>
          <w:bottom w:val="single" w:sz="12" w:space="0" w:color="808080" w:themeColor="background1" w:themeShade="80"/>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2101</Words>
  <Characters>12401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Tobiáš Janík</dc:creator>
  <cp:keywords/>
  <dc:description/>
  <cp:lastModifiedBy>Tobiáš Janík</cp:lastModifiedBy>
  <cp:revision>1</cp:revision>
  <dcterms:created xsi:type="dcterms:W3CDTF">2025-01-04T14:41:00Z</dcterms:created>
  <dcterms:modified xsi:type="dcterms:W3CDTF">2025-01-04T14:55:00Z</dcterms:modified>
</cp:coreProperties>
</file>